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C176" w14:textId="0CF5E041" w:rsidR="007D77AA" w:rsidRDefault="009B633D" w:rsidP="00084139">
      <w:pPr>
        <w:jc w:val="center"/>
        <w:rPr>
          <w:b/>
          <w:bCs/>
          <w:sz w:val="36"/>
          <w:szCs w:val="36"/>
        </w:rPr>
      </w:pPr>
      <w:r w:rsidRPr="009B633D">
        <w:rPr>
          <w:b/>
          <w:bCs/>
          <w:sz w:val="36"/>
          <w:szCs w:val="36"/>
        </w:rPr>
        <w:t xml:space="preserve">CANBERRA </w:t>
      </w:r>
      <w:r w:rsidR="00084139">
        <w:rPr>
          <w:b/>
          <w:bCs/>
          <w:sz w:val="36"/>
          <w:szCs w:val="36"/>
        </w:rPr>
        <w:t>RESOURCES IMMERSION PROGRAM for</w:t>
      </w:r>
      <w:r w:rsidR="00084139">
        <w:rPr>
          <w:b/>
          <w:bCs/>
          <w:sz w:val="36"/>
          <w:szCs w:val="36"/>
        </w:rPr>
        <w:br/>
        <w:t>VCE AUSTRALIAN HISTORY TEACHERS</w:t>
      </w:r>
    </w:p>
    <w:p w14:paraId="4FA8CA7F" w14:textId="6CFE5DC5" w:rsidR="00084139" w:rsidRPr="009B633D" w:rsidRDefault="00084139" w:rsidP="000841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January 2023</w:t>
      </w:r>
    </w:p>
    <w:p w14:paraId="5B3DA0A2" w14:textId="77777777" w:rsidR="004703D2" w:rsidRDefault="004703D2" w:rsidP="007D77A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03D2" w14:paraId="17AAB043" w14:textId="77777777" w:rsidTr="004703D2">
        <w:tc>
          <w:tcPr>
            <w:tcW w:w="9016" w:type="dxa"/>
            <w:gridSpan w:val="2"/>
          </w:tcPr>
          <w:p w14:paraId="38DCDE56" w14:textId="74B712FB" w:rsidR="004703D2" w:rsidRDefault="004703D2" w:rsidP="004703D2">
            <w:pPr>
              <w:rPr>
                <w:b/>
                <w:bCs/>
                <w:sz w:val="28"/>
                <w:szCs w:val="28"/>
              </w:rPr>
            </w:pPr>
            <w:r w:rsidRPr="004703D2">
              <w:rPr>
                <w:b/>
                <w:bCs/>
                <w:sz w:val="28"/>
                <w:szCs w:val="28"/>
              </w:rPr>
              <w:t>National Archives of Australia</w:t>
            </w:r>
          </w:p>
          <w:p w14:paraId="47015D2D" w14:textId="77777777" w:rsidR="004703D2" w:rsidRDefault="004703D2" w:rsidP="004703D2"/>
          <w:p w14:paraId="1A606097" w14:textId="77777777" w:rsidR="004703D2" w:rsidRDefault="00EB09F9" w:rsidP="004703D2">
            <w:hyperlink r:id="rId10" w:history="1">
              <w:r w:rsidR="004703D2">
                <w:rPr>
                  <w:rStyle w:val="Hyperlink"/>
                </w:rPr>
                <w:t>Learn | naa.gov.au</w:t>
              </w:r>
            </w:hyperlink>
          </w:p>
          <w:p w14:paraId="7E664124" w14:textId="77777777" w:rsidR="004703D2" w:rsidRDefault="004703D2" w:rsidP="004703D2"/>
          <w:p w14:paraId="33DDFC70" w14:textId="77777777" w:rsidR="004703D2" w:rsidRDefault="00EB09F9" w:rsidP="004703D2">
            <w:hyperlink r:id="rId11" w:history="1">
              <w:r w:rsidR="004703D2">
                <w:rPr>
                  <w:rStyle w:val="Hyperlink"/>
                </w:rPr>
                <w:t xml:space="preserve">Basic search | </w:t>
              </w:r>
              <w:proofErr w:type="spellStart"/>
              <w:r w:rsidR="004703D2">
                <w:rPr>
                  <w:rStyle w:val="Hyperlink"/>
                </w:rPr>
                <w:t>RecordSearch</w:t>
              </w:r>
              <w:proofErr w:type="spellEnd"/>
              <w:r w:rsidR="004703D2">
                <w:rPr>
                  <w:rStyle w:val="Hyperlink"/>
                </w:rPr>
                <w:t xml:space="preserve"> | National Archives of Australia (naa.gov.au)</w:t>
              </w:r>
            </w:hyperlink>
          </w:p>
          <w:p w14:paraId="47DA2AD9" w14:textId="791A1BCD" w:rsidR="004703D2" w:rsidRDefault="004703D2" w:rsidP="007D77AA">
            <w:pPr>
              <w:rPr>
                <w:b/>
                <w:bCs/>
              </w:rPr>
            </w:pPr>
          </w:p>
        </w:tc>
      </w:tr>
      <w:tr w:rsidR="004703D2" w14:paraId="3C68317A" w14:textId="77777777" w:rsidTr="004703D2">
        <w:tc>
          <w:tcPr>
            <w:tcW w:w="9016" w:type="dxa"/>
            <w:gridSpan w:val="2"/>
          </w:tcPr>
          <w:p w14:paraId="05C3015F" w14:textId="77777777" w:rsidR="00BA7C66" w:rsidRPr="00C5151C" w:rsidRDefault="00BA7C66" w:rsidP="00BA7C66">
            <w:pPr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</w:pPr>
            <w:r w:rsidRPr="004703D2">
              <w:rPr>
                <w:b/>
                <w:bCs/>
                <w:sz w:val="28"/>
                <w:szCs w:val="28"/>
              </w:rPr>
              <w:t>National Library of Australia</w:t>
            </w:r>
          </w:p>
          <w:p w14:paraId="2924E857" w14:textId="456E15B2" w:rsidR="00084139" w:rsidRPr="004D1768" w:rsidRDefault="00BA7C66" w:rsidP="00BA7C66">
            <w:pPr>
              <w:jc w:val="both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br/>
            </w:r>
            <w:r w:rsidRPr="004D1768">
              <w:rPr>
                <w:rStyle w:val="Hyperlink"/>
                <w:b/>
                <w:color w:val="auto"/>
                <w:u w:val="none"/>
              </w:rPr>
              <w:t>Digital Classroom</w:t>
            </w:r>
          </w:p>
          <w:p w14:paraId="2E54125C" w14:textId="742593CB" w:rsidR="00BA7C66" w:rsidRDefault="00BA7C66" w:rsidP="00BA7C66">
            <w:pPr>
              <w:jc w:val="both"/>
              <w:rPr>
                <w:rStyle w:val="Hyperlink"/>
                <w:color w:val="auto"/>
                <w:u w:val="none"/>
              </w:rPr>
            </w:pPr>
            <w:r w:rsidRPr="005732FA">
              <w:rPr>
                <w:rStyle w:val="Hyperlink"/>
                <w:color w:val="auto"/>
                <w:u w:val="none"/>
              </w:rPr>
              <w:t xml:space="preserve">The </w:t>
            </w:r>
            <w:r>
              <w:rPr>
                <w:rStyle w:val="Hyperlink"/>
                <w:color w:val="auto"/>
                <w:u w:val="none"/>
              </w:rPr>
              <w:t xml:space="preserve">National Library of Australia’s </w:t>
            </w:r>
            <w:r w:rsidRPr="005732FA">
              <w:rPr>
                <w:rStyle w:val="Hyperlink"/>
                <w:color w:val="auto"/>
                <w:u w:val="none"/>
              </w:rPr>
              <w:t xml:space="preserve">Digital Classroom is aligned to the Australian Curriculum </w:t>
            </w:r>
            <w:r w:rsidR="00084139">
              <w:rPr>
                <w:rStyle w:val="Hyperlink"/>
                <w:color w:val="auto"/>
                <w:u w:val="none"/>
              </w:rPr>
              <w:t xml:space="preserve">but also supports VCE Australian history requirements. </w:t>
            </w:r>
            <w:r w:rsidRPr="005732FA">
              <w:rPr>
                <w:rStyle w:val="Hyperlink"/>
                <w:color w:val="auto"/>
                <w:u w:val="none"/>
              </w:rPr>
              <w:t>It adopts an inquiry approach, allowing students to analyse sources, develop skills and draw their own conclusions about the Australian story.</w:t>
            </w:r>
            <w:r>
              <w:rPr>
                <w:rStyle w:val="Hyperlink"/>
                <w:color w:val="auto"/>
                <w:u w:val="none"/>
              </w:rPr>
              <w:t xml:space="preserve"> While arranged by year level, </w:t>
            </w:r>
            <w:r w:rsidR="00084139">
              <w:rPr>
                <w:rStyle w:val="Hyperlink"/>
                <w:color w:val="auto"/>
                <w:u w:val="none"/>
              </w:rPr>
              <w:t xml:space="preserve">which is convenient for other school year level, </w:t>
            </w:r>
            <w:r>
              <w:rPr>
                <w:rStyle w:val="Hyperlink"/>
                <w:color w:val="auto"/>
                <w:u w:val="none"/>
              </w:rPr>
              <w:t>the rich array of collection content and resources within each module can be adapted and used across a number of year levels and subject areas</w:t>
            </w:r>
            <w:r w:rsidR="00084139">
              <w:rPr>
                <w:rStyle w:val="Hyperlink"/>
                <w:color w:val="auto"/>
                <w:u w:val="none"/>
              </w:rPr>
              <w:t>, including in VCE.</w:t>
            </w:r>
          </w:p>
          <w:p w14:paraId="6A512E88" w14:textId="77777777" w:rsidR="00BA7C66" w:rsidRDefault="00BA7C66" w:rsidP="00BA7C66">
            <w:pPr>
              <w:jc w:val="center"/>
              <w:rPr>
                <w:rStyle w:val="Hyperlink"/>
              </w:rPr>
            </w:pPr>
            <w:r>
              <w:rPr>
                <w:rStyle w:val="Hyperlink"/>
              </w:rPr>
              <w:br/>
            </w:r>
            <w:hyperlink r:id="rId12" w:history="1">
              <w:r w:rsidRPr="001459C6">
                <w:rPr>
                  <w:rStyle w:val="Hyperlink"/>
                </w:rPr>
                <w:t>Digital Classroom</w:t>
              </w:r>
            </w:hyperlink>
          </w:p>
          <w:p w14:paraId="24A5959F" w14:textId="4221785E" w:rsidR="00BA7C66" w:rsidRDefault="00084139" w:rsidP="003325E3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Here is a</w:t>
            </w:r>
            <w:r w:rsidR="00BA7C66" w:rsidRPr="00D8754E">
              <w:rPr>
                <w:rStyle w:val="Hyperlink"/>
                <w:b/>
                <w:color w:val="auto"/>
                <w:u w:val="none"/>
              </w:rPr>
              <w:t xml:space="preserve"> selection of Digital Classroom topics that may be of particular use to </w:t>
            </w:r>
            <w:r>
              <w:rPr>
                <w:rStyle w:val="Hyperlink"/>
                <w:b/>
                <w:color w:val="auto"/>
                <w:u w:val="none"/>
              </w:rPr>
              <w:t>VCE</w:t>
            </w:r>
            <w:r w:rsidR="00BA7C66" w:rsidRPr="00D8754E">
              <w:rPr>
                <w:rStyle w:val="Hyperlink"/>
                <w:b/>
                <w:color w:val="auto"/>
                <w:u w:val="none"/>
              </w:rPr>
              <w:t xml:space="preserve"> students</w:t>
            </w:r>
            <w:r>
              <w:rPr>
                <w:rStyle w:val="Hyperlink"/>
                <w:b/>
                <w:color w:val="auto"/>
                <w:u w:val="none"/>
              </w:rPr>
              <w:t>, but e</w:t>
            </w:r>
            <w:r w:rsidR="00BA7C66">
              <w:rPr>
                <w:rStyle w:val="Hyperlink"/>
                <w:b/>
                <w:color w:val="auto"/>
                <w:u w:val="none"/>
              </w:rPr>
              <w:t xml:space="preserve">xplore the Digital Classroom to discovery many more </w:t>
            </w:r>
            <w:r>
              <w:rPr>
                <w:rStyle w:val="Hyperlink"/>
                <w:b/>
                <w:color w:val="auto"/>
                <w:u w:val="none"/>
              </w:rPr>
              <w:t xml:space="preserve">topics and </w:t>
            </w:r>
            <w:r w:rsidR="00BA7C66">
              <w:rPr>
                <w:rStyle w:val="Hyperlink"/>
                <w:b/>
                <w:color w:val="auto"/>
                <w:u w:val="none"/>
              </w:rPr>
              <w:t>resources.</w:t>
            </w:r>
          </w:p>
          <w:p w14:paraId="1913879E" w14:textId="77777777" w:rsidR="00084139" w:rsidRDefault="00084139" w:rsidP="00BA7C66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428"/>
            </w:tblGrid>
            <w:tr w:rsidR="00BA7C66" w14:paraId="16B6A66B" w14:textId="77777777" w:rsidTr="00DA0772">
              <w:tc>
                <w:tcPr>
                  <w:tcW w:w="236" w:type="dxa"/>
                  <w:vMerge w:val="restart"/>
                </w:tcPr>
                <w:p w14:paraId="7F69C95A" w14:textId="77777777" w:rsidR="00BA7C66" w:rsidRPr="00D8754E" w:rsidRDefault="00BA7C66" w:rsidP="00BA7C66">
                  <w:pPr>
                    <w:rPr>
                      <w:rStyle w:val="Hyperlink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8428" w:type="dxa"/>
                </w:tcPr>
                <w:p w14:paraId="185E84AC" w14:textId="77777777" w:rsidR="00BA7C66" w:rsidRDefault="00EB09F9" w:rsidP="00BA7C6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Style w:val="Hyperlink"/>
                    </w:rPr>
                  </w:pPr>
                  <w:hyperlink r:id="rId13" w:history="1">
                    <w:r w:rsidR="00BA7C66" w:rsidRPr="00670360">
                      <w:rPr>
                        <w:rStyle w:val="Hyperlink"/>
                      </w:rPr>
                      <w:t>1967 Referendum</w:t>
                    </w:r>
                  </w:hyperlink>
                </w:p>
                <w:p w14:paraId="7D148170" w14:textId="1D46673B" w:rsidR="00BA7C66" w:rsidRPr="006B1001" w:rsidRDefault="00BA7C66" w:rsidP="00BA7C66">
                  <w:pPr>
                    <w:pStyle w:val="ListParagraph"/>
                    <w:rPr>
                      <w:rStyle w:val="Hyperlink"/>
                      <w:color w:val="auto"/>
                      <w:u w:val="none"/>
                    </w:rPr>
                  </w:pPr>
                  <w:r>
                    <w:rPr>
                      <w:rStyle w:val="Hyperlink"/>
                      <w:color w:val="auto"/>
                      <w:u w:val="none"/>
                    </w:rPr>
                    <w:t>Documenting Aboriginal and Torres Strait Islander Peoples fight</w:t>
                  </w:r>
                  <w:r w:rsidR="00084139">
                    <w:rPr>
                      <w:rStyle w:val="Hyperlink"/>
                      <w:color w:val="auto"/>
                      <w:u w:val="none"/>
                    </w:rPr>
                    <w:t>s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for civil rights in Australia with emphasis on the 1967 Referendum</w:t>
                  </w:r>
                </w:p>
              </w:tc>
            </w:tr>
            <w:tr w:rsidR="00BA7C66" w14:paraId="6BB4BD91" w14:textId="77777777" w:rsidTr="00DA0772">
              <w:tc>
                <w:tcPr>
                  <w:tcW w:w="236" w:type="dxa"/>
                  <w:vMerge/>
                </w:tcPr>
                <w:p w14:paraId="781B0CBE" w14:textId="77777777" w:rsidR="00BA7C66" w:rsidRPr="00D8754E" w:rsidRDefault="00BA7C66" w:rsidP="00BA7C66">
                  <w:pPr>
                    <w:rPr>
                      <w:rStyle w:val="Hyperlink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8428" w:type="dxa"/>
                </w:tcPr>
                <w:p w14:paraId="40C4C5DE" w14:textId="77777777" w:rsidR="00BA7C66" w:rsidRDefault="00EB09F9" w:rsidP="00BA7C6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Style w:val="Hyperlink"/>
                    </w:rPr>
                  </w:pPr>
                  <w:hyperlink r:id="rId14" w:history="1">
                    <w:r w:rsidR="00BA7C66" w:rsidRPr="00670360">
                      <w:rPr>
                        <w:rStyle w:val="Hyperlink"/>
                      </w:rPr>
                      <w:t>World War I</w:t>
                    </w:r>
                  </w:hyperlink>
                </w:p>
                <w:p w14:paraId="57E79E67" w14:textId="77777777" w:rsidR="00BA7C66" w:rsidRPr="006B1001" w:rsidRDefault="00BA7C66" w:rsidP="00BA7C66">
                  <w:pPr>
                    <w:pStyle w:val="ListParagraph"/>
                    <w:rPr>
                      <w:rStyle w:val="Hyperlink"/>
                      <w:u w:val="none"/>
                    </w:rPr>
                  </w:pPr>
                  <w:r w:rsidRPr="006B1001">
                    <w:rPr>
                      <w:rStyle w:val="Hyperlink"/>
                      <w:color w:val="auto"/>
                      <w:u w:val="none"/>
                    </w:rPr>
                    <w:t>Investigating the role of the media and popular opinion during World War I</w:t>
                  </w:r>
                </w:p>
              </w:tc>
            </w:tr>
            <w:tr w:rsidR="00BA7C66" w14:paraId="5AE20AF3" w14:textId="77777777" w:rsidTr="00DA0772">
              <w:tc>
                <w:tcPr>
                  <w:tcW w:w="236" w:type="dxa"/>
                  <w:vMerge/>
                </w:tcPr>
                <w:p w14:paraId="0FD94FF3" w14:textId="77777777" w:rsidR="00BA7C66" w:rsidRPr="00D8754E" w:rsidRDefault="00BA7C66" w:rsidP="00BA7C66">
                  <w:pPr>
                    <w:rPr>
                      <w:rStyle w:val="Hyperlink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8428" w:type="dxa"/>
                </w:tcPr>
                <w:p w14:paraId="1EDCE2E3" w14:textId="77777777" w:rsidR="00BA7C66" w:rsidRDefault="00EB09F9" w:rsidP="00BA7C6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Style w:val="Hyperlink"/>
                    </w:rPr>
                  </w:pPr>
                  <w:hyperlink r:id="rId15" w:history="1">
                    <w:r w:rsidR="00BA7C66" w:rsidRPr="00670360">
                      <w:rPr>
                        <w:rStyle w:val="Hyperlink"/>
                      </w:rPr>
                      <w:t>Internment – World War II (1939-45)</w:t>
                    </w:r>
                  </w:hyperlink>
                </w:p>
                <w:p w14:paraId="1AF8EE7E" w14:textId="77777777" w:rsidR="00BA7C66" w:rsidRPr="006B1001" w:rsidRDefault="00BA7C66" w:rsidP="00BA7C66">
                  <w:pPr>
                    <w:pStyle w:val="ListParagraph"/>
                    <w:rPr>
                      <w:rStyle w:val="Hyperlink"/>
                      <w:u w:val="none"/>
                    </w:rPr>
                  </w:pPr>
                  <w:r>
                    <w:rPr>
                      <w:rStyle w:val="Hyperlink"/>
                      <w:color w:val="auto"/>
                      <w:u w:val="none"/>
                    </w:rPr>
                    <w:t xml:space="preserve">Investigating </w:t>
                  </w:r>
                  <w:r w:rsidRPr="006B1001">
                    <w:rPr>
                      <w:rStyle w:val="Hyperlink"/>
                      <w:color w:val="auto"/>
                      <w:u w:val="none"/>
                    </w:rPr>
                    <w:t>home front human stories, impacts of war and genocide,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migration and multiculturalism on Australia during </w:t>
                  </w:r>
                  <w:proofErr w:type="spellStart"/>
                  <w:r>
                    <w:rPr>
                      <w:rStyle w:val="Hyperlink"/>
                      <w:color w:val="auto"/>
                      <w:u w:val="none"/>
                    </w:rPr>
                    <w:t>Word</w:t>
                  </w:r>
                  <w:proofErr w:type="spellEnd"/>
                  <w:r>
                    <w:rPr>
                      <w:rStyle w:val="Hyperlink"/>
                      <w:color w:val="auto"/>
                      <w:u w:val="none"/>
                    </w:rPr>
                    <w:t xml:space="preserve"> War II</w:t>
                  </w:r>
                </w:p>
              </w:tc>
            </w:tr>
            <w:tr w:rsidR="00BA7C66" w14:paraId="32E2E079" w14:textId="77777777" w:rsidTr="00DA0772">
              <w:tc>
                <w:tcPr>
                  <w:tcW w:w="236" w:type="dxa"/>
                  <w:vMerge w:val="restart"/>
                </w:tcPr>
                <w:p w14:paraId="2CCAE871" w14:textId="77777777" w:rsidR="00BA7C66" w:rsidRPr="00D8754E" w:rsidRDefault="00BA7C66" w:rsidP="00BA7C66">
                  <w:pPr>
                    <w:rPr>
                      <w:rStyle w:val="Hyperlink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8428" w:type="dxa"/>
                </w:tcPr>
                <w:p w14:paraId="7F43FA8F" w14:textId="77777777" w:rsidR="00BA7C66" w:rsidRDefault="00BA7C66" w:rsidP="00BA7C6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Style w:val="Hyperlink"/>
                    </w:rPr>
                  </w:pPr>
                  <w:r>
                    <w:rPr>
                      <w:rStyle w:val="Hyperlink"/>
                    </w:rPr>
                    <w:t>Shoulder to Shoulder: Feminism in Australia</w:t>
                  </w:r>
                </w:p>
                <w:p w14:paraId="6DF03309" w14:textId="77777777" w:rsidR="00BA7C66" w:rsidRPr="00C5151C" w:rsidRDefault="00BA7C66" w:rsidP="00BA7C66">
                  <w:pPr>
                    <w:pStyle w:val="ListParagraph"/>
                    <w:rPr>
                      <w:rStyle w:val="Hyperlink"/>
                      <w:u w:val="none"/>
                    </w:rPr>
                  </w:pPr>
                  <w:r>
                    <w:rPr>
                      <w:rStyle w:val="Hyperlink"/>
                      <w:color w:val="auto"/>
                      <w:u w:val="none"/>
                    </w:rPr>
                    <w:t xml:space="preserve">Aligned to </w:t>
                  </w:r>
                  <w:r w:rsidRPr="00C5151C">
                    <w:rPr>
                      <w:rStyle w:val="Hyperlink"/>
                      <w:color w:val="auto"/>
                      <w:u w:val="none"/>
                    </w:rPr>
                    <w:t>Unit 2: Movements for Change in the 20th Century, and specifically those that fall under the examination of ‘Women’s Movements.’</w:t>
                  </w:r>
                </w:p>
              </w:tc>
            </w:tr>
            <w:tr w:rsidR="00BA7C66" w14:paraId="017803F2" w14:textId="77777777" w:rsidTr="00DA0772">
              <w:tc>
                <w:tcPr>
                  <w:tcW w:w="236" w:type="dxa"/>
                  <w:vMerge/>
                </w:tcPr>
                <w:p w14:paraId="44CA53B4" w14:textId="77777777" w:rsidR="00BA7C66" w:rsidRDefault="00BA7C66" w:rsidP="00BA7C66">
                  <w:pPr>
                    <w:rPr>
                      <w:rStyle w:val="Hyperlink"/>
                    </w:rPr>
                  </w:pPr>
                </w:p>
              </w:tc>
              <w:tc>
                <w:tcPr>
                  <w:tcW w:w="8428" w:type="dxa"/>
                </w:tcPr>
                <w:p w14:paraId="20FA00C0" w14:textId="77777777" w:rsidR="00BA7C66" w:rsidRDefault="00EB09F9" w:rsidP="00BA7C6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Style w:val="Hyperlink"/>
                    </w:rPr>
                  </w:pPr>
                  <w:hyperlink r:id="rId16" w:history="1">
                    <w:r w:rsidR="00BA7C66" w:rsidRPr="00670360">
                      <w:rPr>
                        <w:rStyle w:val="Hyperlink"/>
                      </w:rPr>
                      <w:t>Cook and the Pacific</w:t>
                    </w:r>
                  </w:hyperlink>
                </w:p>
                <w:p w14:paraId="31FB8FDB" w14:textId="30F30A11" w:rsidR="00BA7C66" w:rsidRDefault="00BA7C66" w:rsidP="00BA7C66">
                  <w:pPr>
                    <w:pStyle w:val="ListParagraph"/>
                    <w:rPr>
                      <w:rStyle w:val="Hyperlink"/>
                      <w:color w:val="auto"/>
                      <w:u w:val="none"/>
                    </w:rPr>
                  </w:pPr>
                  <w:r w:rsidRPr="006B1001">
                    <w:rPr>
                      <w:rStyle w:val="Hyperlink"/>
                      <w:color w:val="auto"/>
                      <w:u w:val="none"/>
                    </w:rPr>
                    <w:t>Aligned to</w:t>
                  </w:r>
                  <w:r w:rsidRPr="006B1001">
                    <w:rPr>
                      <w:rStyle w:val="Hyperlink"/>
                      <w:color w:val="auto"/>
                    </w:rPr>
                    <w:t xml:space="preserve"> </w:t>
                  </w:r>
                  <w:r w:rsidRPr="006B1001">
                    <w:rPr>
                      <w:rStyle w:val="Hyperlink"/>
                      <w:color w:val="auto"/>
                      <w:u w:val="none"/>
                    </w:rPr>
                    <w:t xml:space="preserve">Unit 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1: Understanding the Modern World and Unit </w:t>
                  </w:r>
                  <w:r w:rsidRPr="006B1001">
                    <w:rPr>
                      <w:rStyle w:val="Hyperlink"/>
                      <w:color w:val="auto"/>
                      <w:u w:val="none"/>
                    </w:rPr>
                    <w:t>2: Movements for Change in the 20th Century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with specific examinations of elective topics:</w:t>
                  </w:r>
                  <w:r w:rsidR="00084139">
                    <w:rPr>
                      <w:rStyle w:val="Hyperlink"/>
                      <w:color w:val="auto"/>
                      <w:u w:val="none"/>
                    </w:rPr>
                    <w:br/>
                  </w:r>
                </w:p>
                <w:p w14:paraId="1ACA90B0" w14:textId="77777777" w:rsidR="00BA7C66" w:rsidRDefault="00EB09F9" w:rsidP="00BA7C6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Style w:val="Hyperlink"/>
                    </w:rPr>
                  </w:pPr>
                  <w:hyperlink r:id="rId17" w:history="1">
                    <w:r w:rsidR="00BA7C66" w:rsidRPr="00D8754E">
                      <w:rPr>
                        <w:rStyle w:val="Hyperlink"/>
                      </w:rPr>
                      <w:t>Science and Strategy: The Enlightenment</w:t>
                    </w:r>
                  </w:hyperlink>
                </w:p>
                <w:p w14:paraId="681D7864" w14:textId="77777777" w:rsidR="00BA7C66" w:rsidRDefault="00BA7C66" w:rsidP="00BA7C66">
                  <w:pPr>
                    <w:pStyle w:val="ListParagraph"/>
                    <w:rPr>
                      <w:rStyle w:val="Hyperlink"/>
                    </w:rPr>
                  </w:pPr>
                  <w:r>
                    <w:rPr>
                      <w:rStyle w:val="Hyperlink"/>
                      <w:color w:val="auto"/>
                      <w:u w:val="none"/>
                    </w:rPr>
                    <w:t xml:space="preserve">        </w:t>
                  </w:r>
                  <w:r w:rsidRPr="006B1001">
                    <w:rPr>
                      <w:rStyle w:val="Hyperlink"/>
                      <w:color w:val="auto"/>
                      <w:u w:val="none"/>
                    </w:rPr>
                    <w:t>‘</w:t>
                  </w:r>
                  <w:r>
                    <w:rPr>
                      <w:rStyle w:val="Hyperlink"/>
                      <w:color w:val="auto"/>
                      <w:u w:val="none"/>
                    </w:rPr>
                    <w:t>The Enlightenment, 1750-1789’ – Unit 1</w:t>
                  </w:r>
                </w:p>
                <w:p w14:paraId="4DA086F8" w14:textId="77777777" w:rsidR="00BA7C66" w:rsidRDefault="00EB09F9" w:rsidP="00BA7C6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Style w:val="Hyperlink"/>
                    </w:rPr>
                  </w:pPr>
                  <w:hyperlink r:id="rId18" w:history="1">
                    <w:r w:rsidR="00BA7C66" w:rsidRPr="00D8754E">
                      <w:rPr>
                        <w:rStyle w:val="Hyperlink"/>
                      </w:rPr>
                      <w:t>Indigenous Responses to Cook and his Voyage</w:t>
                    </w:r>
                  </w:hyperlink>
                </w:p>
                <w:p w14:paraId="2266AE7D" w14:textId="76D5FA86" w:rsidR="00BA7C66" w:rsidRPr="006B1001" w:rsidRDefault="00BA7C66" w:rsidP="00BA7C66">
                  <w:pPr>
                    <w:pStyle w:val="ListParagraph"/>
                    <w:ind w:left="1080"/>
                    <w:rPr>
                      <w:rStyle w:val="Hyperlink"/>
                      <w:color w:val="auto"/>
                      <w:u w:val="none"/>
                    </w:rPr>
                  </w:pPr>
                  <w:r w:rsidRPr="006B1001">
                    <w:rPr>
                      <w:rStyle w:val="Hyperlink"/>
                      <w:color w:val="auto"/>
                      <w:u w:val="none"/>
                    </w:rPr>
                    <w:t xml:space="preserve">‘Recognition and rights of Indigenous </w:t>
                  </w:r>
                  <w:proofErr w:type="gramStart"/>
                  <w:r w:rsidRPr="006B1001">
                    <w:rPr>
                      <w:rStyle w:val="Hyperlink"/>
                      <w:color w:val="auto"/>
                      <w:u w:val="none"/>
                    </w:rPr>
                    <w:t>peoples’</w:t>
                  </w:r>
                  <w:proofErr w:type="gramEnd"/>
                  <w:r w:rsidRPr="006B1001">
                    <w:rPr>
                      <w:rStyle w:val="Hyperlink"/>
                      <w:color w:val="auto"/>
                      <w:u w:val="none"/>
                    </w:rPr>
                    <w:t>.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– Unit 2</w:t>
                  </w:r>
                </w:p>
                <w:p w14:paraId="5840B572" w14:textId="77777777" w:rsidR="00BA7C66" w:rsidRDefault="00EB09F9" w:rsidP="00BA7C6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Style w:val="Hyperlink"/>
                    </w:rPr>
                  </w:pPr>
                  <w:hyperlink r:id="rId19" w:history="1">
                    <w:r w:rsidR="00BA7C66" w:rsidRPr="00D8754E">
                      <w:rPr>
                        <w:rStyle w:val="Hyperlink"/>
                      </w:rPr>
                      <w:t>Cook: Legend and Legacy</w:t>
                    </w:r>
                  </w:hyperlink>
                </w:p>
                <w:p w14:paraId="457DAD8E" w14:textId="77777777" w:rsidR="00BA7C66" w:rsidRPr="004D1768" w:rsidRDefault="00BA7C66" w:rsidP="00BA7C66">
                  <w:pPr>
                    <w:pStyle w:val="ListParagraph"/>
                    <w:ind w:left="1080"/>
                    <w:rPr>
                      <w:rStyle w:val="Hyperlink"/>
                      <w:color w:val="auto"/>
                      <w:u w:val="none"/>
                    </w:rPr>
                  </w:pPr>
                  <w:r w:rsidRPr="006B1001">
                    <w:rPr>
                      <w:rStyle w:val="Hyperlink"/>
                      <w:color w:val="auto"/>
                      <w:u w:val="none"/>
                    </w:rPr>
                    <w:t xml:space="preserve">‘Recognition and rights of Indigenous </w:t>
                  </w:r>
                  <w:proofErr w:type="gramStart"/>
                  <w:r w:rsidRPr="006B1001">
                    <w:rPr>
                      <w:rStyle w:val="Hyperlink"/>
                      <w:color w:val="auto"/>
                      <w:u w:val="none"/>
                    </w:rPr>
                    <w:t>peoples’</w:t>
                  </w:r>
                  <w:proofErr w:type="gramEnd"/>
                  <w:r w:rsidRPr="006B1001">
                    <w:rPr>
                      <w:rStyle w:val="Hyperlink"/>
                      <w:color w:val="auto"/>
                      <w:u w:val="none"/>
                    </w:rPr>
                    <w:t>.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– Unit 2</w:t>
                  </w:r>
                </w:p>
              </w:tc>
            </w:tr>
          </w:tbl>
          <w:p w14:paraId="743C08D8" w14:textId="77777777" w:rsidR="00BA7C66" w:rsidRDefault="00BA7C66" w:rsidP="00BA7C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Learning Webinars</w:t>
            </w:r>
          </w:p>
          <w:p w14:paraId="3E2C2D92" w14:textId="27C094B0" w:rsidR="00BA7C66" w:rsidRDefault="00BA7C66" w:rsidP="00BA7C66">
            <w:pPr>
              <w:rPr>
                <w:bCs/>
              </w:rPr>
            </w:pPr>
            <w:r>
              <w:rPr>
                <w:bCs/>
              </w:rPr>
              <w:t xml:space="preserve">The National Library of Australia produces a series of learning programs and webinars that offer viewers </w:t>
            </w:r>
            <w:r w:rsidR="00084139">
              <w:rPr>
                <w:bCs/>
              </w:rPr>
              <w:t xml:space="preserve">the </w:t>
            </w:r>
            <w:r>
              <w:rPr>
                <w:bCs/>
              </w:rPr>
              <w:t xml:space="preserve">techniques and tips for conducting effective research, using and accessing </w:t>
            </w:r>
            <w:r w:rsidR="00084139">
              <w:rPr>
                <w:bCs/>
              </w:rPr>
              <w:t>the NLA’s</w:t>
            </w:r>
            <w:r>
              <w:rPr>
                <w:bCs/>
              </w:rPr>
              <w:t xml:space="preserve"> vast collection, and helpful advice from collection experts and specialist research librarians. These webinars are free to watch and can be accessed on the Library’s YouTube page: </w:t>
            </w:r>
          </w:p>
          <w:p w14:paraId="2214F7EF" w14:textId="77777777" w:rsidR="00084139" w:rsidRDefault="00084139" w:rsidP="00BA7C66">
            <w:pPr>
              <w:rPr>
                <w:bCs/>
              </w:rPr>
            </w:pPr>
          </w:p>
          <w:p w14:paraId="20D4FDE1" w14:textId="77777777" w:rsidR="004703D2" w:rsidRDefault="00EB09F9" w:rsidP="00BA7C66">
            <w:pPr>
              <w:jc w:val="center"/>
              <w:rPr>
                <w:rStyle w:val="Hyperlink"/>
                <w:bCs/>
              </w:rPr>
            </w:pPr>
            <w:hyperlink r:id="rId20" w:history="1">
              <w:r w:rsidR="00BA7C66" w:rsidRPr="004D1768">
                <w:rPr>
                  <w:rStyle w:val="Hyperlink"/>
                  <w:bCs/>
                </w:rPr>
                <w:t>Learning Webinars</w:t>
              </w:r>
            </w:hyperlink>
          </w:p>
          <w:p w14:paraId="0A38B443" w14:textId="7FC76E07" w:rsidR="00084139" w:rsidRDefault="00084139" w:rsidP="00BA7C66">
            <w:pPr>
              <w:jc w:val="center"/>
              <w:rPr>
                <w:b/>
                <w:bCs/>
              </w:rPr>
            </w:pPr>
          </w:p>
        </w:tc>
      </w:tr>
      <w:tr w:rsidR="004703D2" w14:paraId="7BF9DA1E" w14:textId="77777777" w:rsidTr="004703D2">
        <w:tc>
          <w:tcPr>
            <w:tcW w:w="9016" w:type="dxa"/>
            <w:gridSpan w:val="2"/>
          </w:tcPr>
          <w:p w14:paraId="2477E46B" w14:textId="77777777" w:rsidR="004703D2" w:rsidRPr="004703D2" w:rsidRDefault="004703D2" w:rsidP="004703D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"/>
              </w:rPr>
            </w:pPr>
            <w:r w:rsidRPr="004703D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"/>
              </w:rPr>
              <w:lastRenderedPageBreak/>
              <w:t>Museum of Australian Democracy</w:t>
            </w:r>
          </w:p>
          <w:p w14:paraId="2682A46E" w14:textId="646507E4" w:rsidR="004703D2" w:rsidRDefault="004703D2" w:rsidP="004703D2">
            <w:pPr>
              <w:rPr>
                <w:rFonts w:asciiTheme="minorHAnsi" w:hAnsiTheme="minorHAnsi" w:cstheme="minorHAnsi"/>
                <w:lang w:val="en"/>
              </w:rPr>
            </w:pPr>
          </w:p>
          <w:p w14:paraId="5C96066E" w14:textId="2E3233D2" w:rsidR="00084139" w:rsidRDefault="00084139" w:rsidP="004703D2">
            <w:pPr>
              <w:rPr>
                <w:rFonts w:asciiTheme="minorHAnsi" w:hAnsiTheme="minorHAnsi" w:cstheme="minorHAnsi"/>
                <w:lang w:val="en"/>
              </w:rPr>
            </w:pPr>
            <w:proofErr w:type="spellStart"/>
            <w:r>
              <w:rPr>
                <w:rFonts w:asciiTheme="minorHAnsi" w:hAnsiTheme="minorHAnsi" w:cstheme="minorHAnsi"/>
                <w:lang w:val="en"/>
              </w:rPr>
              <w:t>MoAD</w:t>
            </w:r>
            <w:proofErr w:type="spellEnd"/>
            <w:r>
              <w:rPr>
                <w:rFonts w:asciiTheme="minorHAnsi" w:hAnsiTheme="minorHAnsi" w:cstheme="minorHAnsi"/>
                <w:lang w:val="en"/>
              </w:rPr>
              <w:t xml:space="preserve"> has many significant primary and secondary sources to</w:t>
            </w:r>
            <w:r w:rsidR="0011619F">
              <w:rPr>
                <w:rFonts w:asciiTheme="minorHAnsi" w:hAnsiTheme="minorHAnsi" w:cstheme="minorHAnsi"/>
                <w:lang w:val="en"/>
              </w:rPr>
              <w:t xml:space="preserve"> support your work in VCE.</w:t>
            </w:r>
          </w:p>
          <w:p w14:paraId="49AC26BE" w14:textId="77777777" w:rsidR="00084139" w:rsidRPr="004703D2" w:rsidRDefault="00084139" w:rsidP="004703D2">
            <w:pPr>
              <w:rPr>
                <w:rFonts w:asciiTheme="minorHAnsi" w:hAnsiTheme="minorHAnsi" w:cstheme="minorHAnsi"/>
                <w:lang w:val="en"/>
              </w:rPr>
            </w:pPr>
          </w:p>
          <w:p w14:paraId="14E51196" w14:textId="00D1FA32" w:rsidR="0078258B" w:rsidRDefault="00EB09F9" w:rsidP="0078258B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21" w:history="1">
              <w:r w:rsidR="0078258B">
                <w:rPr>
                  <w:rStyle w:val="Hyperlink"/>
                  <w:rFonts w:eastAsia="Times New Roman"/>
                  <w:sz w:val="24"/>
                  <w:szCs w:val="24"/>
                </w:rPr>
                <w:t>https://www.moadoph.gov.au/learning/classroom-resources/</w:t>
              </w:r>
            </w:hyperlink>
          </w:p>
          <w:p w14:paraId="631A58C2" w14:textId="2A62EDEF" w:rsidR="0078258B" w:rsidRDefault="0078258B" w:rsidP="007825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contentpasted1"/>
                <w:rFonts w:eastAsia="Times New Roman"/>
                <w:color w:val="000000"/>
                <w:sz w:val="24"/>
                <w:szCs w:val="24"/>
              </w:rPr>
              <w:t>Political Cartoons</w:t>
            </w:r>
            <w:r w:rsidR="00084139">
              <w:rPr>
                <w:rStyle w:val="contentpasted1"/>
                <w:rFonts w:eastAsia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084139" w:rsidRPr="00427A21">
                <w:rPr>
                  <w:rStyle w:val="Hyperlink"/>
                  <w:rFonts w:eastAsia="Times New Roman"/>
                  <w:sz w:val="24"/>
                  <w:szCs w:val="24"/>
                </w:rPr>
                <w:t>https://www.moadoph.gov.au/learning/classroom-resources/political-cartooning/</w:t>
              </w:r>
            </w:hyperlink>
          </w:p>
          <w:p w14:paraId="04CBE8E4" w14:textId="7A4AD7B2" w:rsidR="0078258B" w:rsidRDefault="0078258B" w:rsidP="007825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ontentpasted2"/>
                <w:rFonts w:eastAsia="Times New Roman"/>
                <w:color w:val="000000"/>
                <w:sz w:val="24"/>
                <w:szCs w:val="24"/>
              </w:rPr>
              <w:t>HansART</w:t>
            </w:r>
            <w:proofErr w:type="spellEnd"/>
            <w:r w:rsidR="00084139">
              <w:rPr>
                <w:rStyle w:val="contentpasted2"/>
                <w:rFonts w:eastAsia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084139" w:rsidRPr="00427A21">
                <w:rPr>
                  <w:rStyle w:val="Hyperlink"/>
                  <w:rFonts w:eastAsia="Times New Roman"/>
                  <w:sz w:val="24"/>
                  <w:szCs w:val="24"/>
                </w:rPr>
                <w:t>https://www.moadoph.gov.au/learning/classroom-resources/hansart-interpreting-hansard-records/</w:t>
              </w:r>
            </w:hyperlink>
          </w:p>
          <w:p w14:paraId="55B0D8CD" w14:textId="459323C5" w:rsidR="0078258B" w:rsidRPr="0078258B" w:rsidRDefault="0078258B" w:rsidP="007825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contentpasted3"/>
                <w:rFonts w:eastAsia="Times New Roman"/>
                <w:color w:val="000000"/>
                <w:sz w:val="24"/>
                <w:szCs w:val="24"/>
              </w:rPr>
              <w:t xml:space="preserve">Podcast </w:t>
            </w:r>
            <w:r w:rsidR="00084139">
              <w:rPr>
                <w:rStyle w:val="contentpasted3"/>
                <w:rFonts w:eastAsia="Times New Roman"/>
                <w:color w:val="000000"/>
                <w:sz w:val="24"/>
                <w:szCs w:val="24"/>
              </w:rPr>
              <w:t>–</w:t>
            </w:r>
            <w:r>
              <w:rPr>
                <w:rStyle w:val="contentpasted3"/>
                <w:rFonts w:eastAsia="Times New Roman"/>
                <w:color w:val="000000"/>
                <w:sz w:val="24"/>
                <w:szCs w:val="24"/>
              </w:rPr>
              <w:t xml:space="preserve"> Vietnam</w:t>
            </w:r>
            <w:r w:rsidR="00084139">
              <w:rPr>
                <w:rStyle w:val="contentpasted3"/>
                <w:rFonts w:eastAsia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084139" w:rsidRPr="00427A21">
                <w:rPr>
                  <w:rStyle w:val="Hyperlink"/>
                  <w:rFonts w:eastAsia="Times New Roman"/>
                  <w:sz w:val="24"/>
                  <w:szCs w:val="24"/>
                </w:rPr>
                <w:t>https://www.moadoph.gov.au/learning/classroom-resources/podcast-protest-music-and-the-vietnam-moratorium/</w:t>
              </w:r>
            </w:hyperlink>
          </w:p>
          <w:tbl>
            <w:tblPr>
              <w:tblW w:w="8800" w:type="dxa"/>
              <w:tblCellSpacing w:w="15" w:type="dxa"/>
              <w:tblBorders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tblBorders>
              <w:tblCellMar>
                <w:top w:w="180" w:type="dxa"/>
                <w:left w:w="180" w:type="dxa"/>
                <w:bottom w:w="180" w:type="dxa"/>
                <w:right w:w="540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78258B" w14:paraId="4B44EDA7" w14:textId="77777777" w:rsidTr="0078258B">
              <w:trPr>
                <w:tblCellSpacing w:w="15" w:type="dxa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7A158C" w14:textId="77777777" w:rsidR="0078258B" w:rsidRDefault="00EB09F9" w:rsidP="0078258B">
                  <w:pPr>
                    <w:rPr>
                      <w:rFonts w:ascii="Segoe UI Light" w:eastAsia="Times New Roman" w:hAnsi="Segoe UI Light" w:cs="Segoe UI Light"/>
                      <w:sz w:val="32"/>
                      <w:szCs w:val="32"/>
                    </w:rPr>
                  </w:pPr>
                  <w:hyperlink r:id="rId25" w:tgtFrame="_blank" w:history="1">
                    <w:proofErr w:type="spellStart"/>
                    <w:r w:rsidR="0078258B">
                      <w:rPr>
                        <w:rStyle w:val="Hyperlink"/>
                        <w:rFonts w:ascii="Segoe UI Light" w:eastAsia="Times New Roman" w:hAnsi="Segoe UI Light" w:cs="Segoe UI Light"/>
                        <w:sz w:val="32"/>
                        <w:szCs w:val="32"/>
                      </w:rPr>
                      <w:t>HansART</w:t>
                    </w:r>
                    <w:proofErr w:type="spellEnd"/>
                    <w:r w:rsidR="0078258B">
                      <w:rPr>
                        <w:rStyle w:val="Hyperlink"/>
                        <w:rFonts w:ascii="Segoe UI Light" w:eastAsia="Times New Roman" w:hAnsi="Segoe UI Light" w:cs="Segoe UI Light"/>
                        <w:sz w:val="32"/>
                        <w:szCs w:val="32"/>
                      </w:rPr>
                      <w:t xml:space="preserve"> – Interpreting Hansard records - Museum of Australian Democracy at Old Parliament House</w:t>
                    </w:r>
                  </w:hyperlink>
                </w:p>
                <w:p w14:paraId="72999D55" w14:textId="2C0A18FA" w:rsidR="0078258B" w:rsidRDefault="0078258B" w:rsidP="0078258B">
                  <w:pPr>
                    <w:rPr>
                      <w:rFonts w:ascii="Segoe UI" w:eastAsia="Times New Roman" w:hAnsi="Segoe UI" w:cs="Segoe UI"/>
                      <w:sz w:val="21"/>
                      <w:szCs w:val="21"/>
                    </w:rPr>
                  </w:pPr>
                  <w:r w:rsidRPr="00084139">
                    <w:rPr>
                      <w:rFonts w:ascii="Segoe UI" w:eastAsia="Times New Roman" w:hAnsi="Segoe UI" w:cs="Segoe UI"/>
                      <w:sz w:val="21"/>
                      <w:szCs w:val="21"/>
                    </w:rPr>
                    <w:t>Hansard is the official written record of debates and proceedings in the Australian Parliament. Help familiarise your students with Hansard through a creative response, then explore the records further using an inquiry approach.</w:t>
                  </w:r>
                </w:p>
                <w:p w14:paraId="1A6D0BA9" w14:textId="77777777" w:rsidR="00084139" w:rsidRPr="00084139" w:rsidRDefault="00084139" w:rsidP="0078258B">
                  <w:pPr>
                    <w:rPr>
                      <w:rFonts w:ascii="Segoe UI" w:eastAsia="Times New Roman" w:hAnsi="Segoe UI" w:cs="Segoe UI"/>
                      <w:sz w:val="21"/>
                      <w:szCs w:val="21"/>
                    </w:rPr>
                  </w:pPr>
                </w:p>
                <w:p w14:paraId="0A35C14A" w14:textId="77777777" w:rsidR="0078258B" w:rsidRDefault="00EB09F9" w:rsidP="0078258B">
                  <w:pPr>
                    <w:rPr>
                      <w:rFonts w:ascii="Segoe UI" w:eastAsia="Times New Roman" w:hAnsi="Segoe UI" w:cs="Segoe UI"/>
                      <w:color w:val="A6A6A6"/>
                      <w:sz w:val="21"/>
                      <w:szCs w:val="21"/>
                    </w:rPr>
                  </w:pPr>
                  <w:hyperlink r:id="rId26" w:history="1">
                    <w:r w:rsidR="0078258B">
                      <w:rPr>
                        <w:rStyle w:val="Hyperlink"/>
                        <w:rFonts w:ascii="Segoe UI" w:eastAsia="Times New Roman" w:hAnsi="Segoe UI" w:cs="Segoe UI"/>
                        <w:sz w:val="21"/>
                        <w:szCs w:val="21"/>
                      </w:rPr>
                      <w:t>www.moadoph.gov.au</w:t>
                    </w:r>
                  </w:hyperlink>
                </w:p>
              </w:tc>
            </w:tr>
          </w:tbl>
          <w:p w14:paraId="043EE593" w14:textId="11F3CD2B" w:rsidR="004703D2" w:rsidRPr="004703D2" w:rsidRDefault="004703D2" w:rsidP="007D77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03D2" w14:paraId="35446FD4" w14:textId="77777777" w:rsidTr="004703D2">
        <w:tc>
          <w:tcPr>
            <w:tcW w:w="9016" w:type="dxa"/>
            <w:gridSpan w:val="2"/>
          </w:tcPr>
          <w:p w14:paraId="6FB725D8" w14:textId="3A94FDE4" w:rsidR="004703D2" w:rsidRPr="004703D2" w:rsidRDefault="004703D2" w:rsidP="007D77AA">
            <w:pPr>
              <w:rPr>
                <w:b/>
                <w:bCs/>
                <w:sz w:val="28"/>
                <w:szCs w:val="28"/>
              </w:rPr>
            </w:pPr>
            <w:r w:rsidRPr="004703D2">
              <w:rPr>
                <w:b/>
                <w:bCs/>
                <w:sz w:val="28"/>
                <w:szCs w:val="28"/>
              </w:rPr>
              <w:t>National Film and Sound Archive</w:t>
            </w:r>
          </w:p>
          <w:p w14:paraId="3E9BCC44" w14:textId="77777777" w:rsidR="004703D2" w:rsidRDefault="004703D2" w:rsidP="007D77AA">
            <w:pPr>
              <w:rPr>
                <w:b/>
                <w:bCs/>
              </w:rPr>
            </w:pPr>
          </w:p>
          <w:p w14:paraId="533CA48F" w14:textId="1D070385" w:rsidR="009B633D" w:rsidRDefault="009B633D" w:rsidP="009B633D">
            <w:pPr>
              <w:rPr>
                <w:rFonts w:eastAsiaTheme="minorHAnsi"/>
              </w:rPr>
            </w:pPr>
            <w:r>
              <w:t xml:space="preserve">Explore our </w:t>
            </w:r>
            <w:r>
              <w:rPr>
                <w:b/>
                <w:bCs/>
              </w:rPr>
              <w:t>educational websites</w:t>
            </w:r>
            <w:r>
              <w:t xml:space="preserve"> to enrich your teaching and learning programs across a range of key learning areas</w:t>
            </w:r>
            <w:r w:rsidR="0011619F">
              <w:t>, including VCE Australian History</w:t>
            </w:r>
            <w:r>
              <w:t xml:space="preserve">. </w:t>
            </w:r>
            <w:hyperlink r:id="rId27" w:history="1">
              <w:r>
                <w:rPr>
                  <w:rStyle w:val="Hyperlink"/>
                </w:rPr>
                <w:t>https://www.nfsa.gov.au/learning/educational-resources</w:t>
              </w:r>
            </w:hyperlink>
          </w:p>
          <w:p w14:paraId="5881E7ED" w14:textId="77777777" w:rsidR="009B633D" w:rsidRDefault="009B633D" w:rsidP="009B633D"/>
          <w:p w14:paraId="0AAB511C" w14:textId="77777777" w:rsidR="009B633D" w:rsidRDefault="009B633D" w:rsidP="009B633D">
            <w:proofErr w:type="spellStart"/>
            <w:r>
              <w:rPr>
                <w:b/>
                <w:bCs/>
              </w:rPr>
              <w:t>Carriberrie</w:t>
            </w:r>
            <w:proofErr w:type="spellEnd"/>
            <w:r>
              <w:t xml:space="preserve"> is a 360° online experience celebrating Indigenous song and dance </w:t>
            </w:r>
            <w:hyperlink r:id="rId28" w:history="1">
              <w:r>
                <w:rPr>
                  <w:rStyle w:val="Hyperlink"/>
                </w:rPr>
                <w:t>https://www.carriberrieonline.com/</w:t>
              </w:r>
            </w:hyperlink>
          </w:p>
          <w:p w14:paraId="695342C3" w14:textId="77777777" w:rsidR="009B633D" w:rsidRDefault="009B633D" w:rsidP="009B633D"/>
          <w:p w14:paraId="3A351765" w14:textId="77777777" w:rsidR="009B633D" w:rsidRDefault="009B633D" w:rsidP="009B633D">
            <w:r>
              <w:rPr>
                <w:b/>
                <w:bCs/>
              </w:rPr>
              <w:t>Twelve Canoes</w:t>
            </w:r>
            <w:r>
              <w:t xml:space="preserve"> is a portrait of the history, culture and place of the Yolngu people. </w:t>
            </w:r>
            <w:hyperlink r:id="rId29" w:history="1">
              <w:r>
                <w:rPr>
                  <w:rStyle w:val="Hyperlink"/>
                </w:rPr>
                <w:t>https://www.12canoes.com.au/</w:t>
              </w:r>
            </w:hyperlink>
          </w:p>
          <w:p w14:paraId="21CF4E64" w14:textId="77777777" w:rsidR="009B633D" w:rsidRDefault="009B633D" w:rsidP="009B633D"/>
          <w:p w14:paraId="28FF1DDC" w14:textId="77777777" w:rsidR="009B633D" w:rsidRDefault="009B633D" w:rsidP="009B633D">
            <w:r>
              <w:rPr>
                <w:b/>
                <w:bCs/>
              </w:rPr>
              <w:t>Still Our Country</w:t>
            </w:r>
            <w:r>
              <w:t xml:space="preserve"> is an online installation celebrating the Yolngu people. </w:t>
            </w:r>
            <w:hyperlink r:id="rId30" w:history="1">
              <w:r>
                <w:rPr>
                  <w:rStyle w:val="Hyperlink"/>
                </w:rPr>
                <w:t>https://www.stillourcountry.com.au/</w:t>
              </w:r>
            </w:hyperlink>
          </w:p>
          <w:p w14:paraId="5E2937FE" w14:textId="77777777" w:rsidR="009B633D" w:rsidRDefault="009B633D" w:rsidP="009B633D"/>
          <w:p w14:paraId="6E55F884" w14:textId="68B51EC2" w:rsidR="009B633D" w:rsidRDefault="009B633D" w:rsidP="009B633D">
            <w:pPr>
              <w:rPr>
                <w:rStyle w:val="Hyperlink"/>
              </w:rPr>
            </w:pPr>
            <w:r>
              <w:t xml:space="preserve">Dive into our </w:t>
            </w:r>
            <w:r>
              <w:rPr>
                <w:b/>
                <w:bCs/>
              </w:rPr>
              <w:t>curated collections</w:t>
            </w:r>
            <w:r>
              <w:t xml:space="preserve"> that examine</w:t>
            </w:r>
            <w:r w:rsidR="0011619F">
              <w:t>s</w:t>
            </w:r>
            <w:r>
              <w:t xml:space="preserve"> </w:t>
            </w:r>
            <w:r w:rsidR="0011619F">
              <w:t xml:space="preserve">diverse </w:t>
            </w:r>
            <w:r>
              <w:t xml:space="preserve">people, </w:t>
            </w:r>
            <w:r w:rsidR="0011619F">
              <w:t xml:space="preserve">perspectives, </w:t>
            </w:r>
            <w:r>
              <w:t xml:space="preserve">places, events and key themes from within our collection including Australian media </w:t>
            </w:r>
            <w:r w:rsidR="0011619F">
              <w:t xml:space="preserve">representations of all </w:t>
            </w:r>
            <w:r>
              <w:t xml:space="preserve">over time. </w:t>
            </w:r>
            <w:hyperlink r:id="rId31" w:history="1">
              <w:r>
                <w:rPr>
                  <w:rStyle w:val="Hyperlink"/>
                </w:rPr>
                <w:t>https://www.nfsa.gov.au/collection/curated</w:t>
              </w:r>
            </w:hyperlink>
          </w:p>
          <w:p w14:paraId="6E746F29" w14:textId="03D96BD0" w:rsidR="0011619F" w:rsidRDefault="0011619F" w:rsidP="009B633D"/>
          <w:p w14:paraId="6B263ECF" w14:textId="6033CF12" w:rsidR="004703D2" w:rsidRDefault="004703D2" w:rsidP="007D77AA">
            <w:pPr>
              <w:rPr>
                <w:b/>
                <w:bCs/>
              </w:rPr>
            </w:pPr>
          </w:p>
        </w:tc>
      </w:tr>
      <w:tr w:rsidR="004703D2" w14:paraId="7F625697" w14:textId="77777777" w:rsidTr="004703D2">
        <w:tc>
          <w:tcPr>
            <w:tcW w:w="9016" w:type="dxa"/>
            <w:gridSpan w:val="2"/>
          </w:tcPr>
          <w:p w14:paraId="131113BC" w14:textId="77777777" w:rsidR="004703D2" w:rsidRPr="004703D2" w:rsidRDefault="004703D2" w:rsidP="004703D2">
            <w:pPr>
              <w:rPr>
                <w:b/>
                <w:bCs/>
                <w:sz w:val="28"/>
                <w:szCs w:val="28"/>
              </w:rPr>
            </w:pPr>
            <w:r w:rsidRPr="004703D2">
              <w:rPr>
                <w:b/>
                <w:bCs/>
                <w:sz w:val="28"/>
                <w:szCs w:val="28"/>
              </w:rPr>
              <w:lastRenderedPageBreak/>
              <w:t>Australian War Memorial</w:t>
            </w:r>
          </w:p>
          <w:p w14:paraId="3DA0166F" w14:textId="77777777" w:rsidR="004703D2" w:rsidRDefault="004703D2" w:rsidP="007D77AA">
            <w:pPr>
              <w:rPr>
                <w:b/>
                <w:bCs/>
                <w:sz w:val="28"/>
                <w:szCs w:val="28"/>
              </w:rPr>
            </w:pPr>
          </w:p>
          <w:p w14:paraId="59564DAF" w14:textId="7AEA4B8D" w:rsidR="004703D2" w:rsidRPr="0011619F" w:rsidRDefault="004703D2" w:rsidP="004703D2">
            <w:pPr>
              <w:rPr>
                <w:rFonts w:asciiTheme="majorHAnsi" w:hAnsiTheme="majorHAnsi" w:cstheme="majorHAnsi"/>
              </w:rPr>
            </w:pPr>
            <w:r w:rsidRPr="0011619F">
              <w:rPr>
                <w:rFonts w:asciiTheme="majorHAnsi" w:hAnsiTheme="majorHAnsi" w:cstheme="majorHAnsi"/>
              </w:rPr>
              <w:t xml:space="preserve">All classroom learning resources can be found on the </w:t>
            </w:r>
            <w:r w:rsidR="0011619F" w:rsidRPr="0011619F">
              <w:rPr>
                <w:rFonts w:asciiTheme="majorHAnsi" w:hAnsiTheme="majorHAnsi" w:cstheme="majorHAnsi"/>
              </w:rPr>
              <w:t xml:space="preserve">Australian War </w:t>
            </w:r>
            <w:r w:rsidRPr="0011619F">
              <w:rPr>
                <w:rFonts w:asciiTheme="majorHAnsi" w:hAnsiTheme="majorHAnsi" w:cstheme="majorHAnsi"/>
              </w:rPr>
              <w:t>Memorial’s website at:</w:t>
            </w:r>
          </w:p>
          <w:p w14:paraId="5EEF2237" w14:textId="77777777" w:rsidR="004703D2" w:rsidRDefault="00EB09F9" w:rsidP="004703D2">
            <w:pPr>
              <w:rPr>
                <w:rFonts w:asciiTheme="majorHAnsi" w:hAnsiTheme="majorHAnsi" w:cstheme="majorHAnsi"/>
                <w:b/>
              </w:rPr>
            </w:pPr>
            <w:hyperlink r:id="rId32" w:history="1">
              <w:r w:rsidR="004703D2">
                <w:rPr>
                  <w:rStyle w:val="Hyperlink"/>
                  <w:rFonts w:asciiTheme="majorHAnsi" w:hAnsiTheme="majorHAnsi" w:cstheme="majorHAnsi"/>
                  <w:b/>
                </w:rPr>
                <w:t>https://www.awm.gov.au/learn/schools/resources</w:t>
              </w:r>
            </w:hyperlink>
          </w:p>
          <w:p w14:paraId="17008A8C" w14:textId="77777777" w:rsidR="004703D2" w:rsidRDefault="004703D2" w:rsidP="004703D2">
            <w:pPr>
              <w:rPr>
                <w:rFonts w:asciiTheme="majorHAnsi" w:hAnsiTheme="majorHAnsi" w:cstheme="majorHAnsi"/>
                <w:b/>
              </w:rPr>
            </w:pPr>
          </w:p>
          <w:p w14:paraId="0ACFEC49" w14:textId="439DA145" w:rsidR="004703D2" w:rsidRDefault="004703D2" w:rsidP="004703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Some specific links that might be useful for </w:t>
            </w:r>
            <w:r w:rsidR="0011619F">
              <w:rPr>
                <w:rFonts w:asciiTheme="majorHAnsi" w:hAnsiTheme="majorHAnsi" w:cstheme="majorHAnsi"/>
              </w:rPr>
              <w:t xml:space="preserve">VCE Australian History </w:t>
            </w:r>
            <w:r>
              <w:rPr>
                <w:rFonts w:asciiTheme="majorHAnsi" w:hAnsiTheme="majorHAnsi" w:cstheme="majorHAnsi"/>
              </w:rPr>
              <w:t>students include:</w:t>
            </w:r>
          </w:p>
          <w:p w14:paraId="65A874AC" w14:textId="150CDA4B" w:rsidR="004703D2" w:rsidRDefault="00EB09F9" w:rsidP="004703D2">
            <w:pPr>
              <w:rPr>
                <w:lang w:val="en"/>
              </w:rPr>
            </w:pPr>
            <w:hyperlink r:id="rId33" w:history="1">
              <w:r w:rsidR="004703D2" w:rsidRPr="00BA3858">
                <w:rPr>
                  <w:rStyle w:val="Hyperlink"/>
                  <w:rFonts w:asciiTheme="majorHAnsi" w:hAnsiTheme="majorHAnsi" w:cstheme="majorHAnsi"/>
                  <w:b/>
                  <w:lang w:val="en"/>
                </w:rPr>
                <w:t>https://www.awm.gov.au/articles</w:t>
              </w:r>
            </w:hyperlink>
          </w:p>
          <w:p w14:paraId="291F3C80" w14:textId="77777777" w:rsidR="004703D2" w:rsidRPr="004703D2" w:rsidRDefault="004703D2" w:rsidP="004703D2">
            <w:pPr>
              <w:rPr>
                <w:rFonts w:asciiTheme="majorHAnsi" w:hAnsiTheme="majorHAnsi" w:cstheme="majorHAnsi"/>
                <w:b/>
                <w:lang w:val="en"/>
              </w:rPr>
            </w:pPr>
          </w:p>
          <w:p w14:paraId="0A90E79E" w14:textId="12B31B83" w:rsidR="004703D2" w:rsidRDefault="004703D2" w:rsidP="004703D2">
            <w:pPr>
              <w:rPr>
                <w:rFonts w:asciiTheme="majorHAnsi" w:hAnsiTheme="majorHAnsi" w:cstheme="majorHAnsi"/>
                <w:lang w:val="en"/>
              </w:rPr>
            </w:pPr>
            <w:r>
              <w:rPr>
                <w:rFonts w:asciiTheme="majorHAnsi" w:hAnsiTheme="majorHAnsi" w:cstheme="majorHAnsi"/>
              </w:rPr>
              <w:t>Our articles allow the Memorial’s subject specialists to share their knowledge</w:t>
            </w:r>
            <w:r w:rsidR="0011619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on Australian military history and provide a way for </w:t>
            </w:r>
            <w:r w:rsidR="0011619F">
              <w:rPr>
                <w:rFonts w:asciiTheme="majorHAnsi" w:hAnsiTheme="majorHAnsi" w:cstheme="majorHAnsi"/>
              </w:rPr>
              <w:t>teachers and students</w:t>
            </w:r>
            <w:r>
              <w:rPr>
                <w:rFonts w:asciiTheme="majorHAnsi" w:hAnsiTheme="majorHAnsi" w:cstheme="majorHAnsi"/>
              </w:rPr>
              <w:t xml:space="preserve"> to take a closer look at the </w:t>
            </w:r>
            <w:r w:rsidR="0011619F">
              <w:rPr>
                <w:rFonts w:asciiTheme="majorHAnsi" w:hAnsiTheme="majorHAnsi" w:cstheme="majorHAnsi"/>
              </w:rPr>
              <w:t xml:space="preserve">individual </w:t>
            </w:r>
            <w:r>
              <w:rPr>
                <w:rFonts w:asciiTheme="majorHAnsi" w:hAnsiTheme="majorHAnsi" w:cstheme="majorHAnsi"/>
              </w:rPr>
              <w:t>stories behind the histor</w:t>
            </w:r>
            <w:r w:rsidR="0011619F">
              <w:rPr>
                <w:rFonts w:asciiTheme="majorHAnsi" w:hAnsiTheme="majorHAnsi" w:cstheme="majorHAnsi"/>
              </w:rPr>
              <w:t>ies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11619F">
              <w:rPr>
                <w:rFonts w:asciiTheme="majorHAnsi" w:hAnsiTheme="majorHAnsi" w:cstheme="majorHAnsi"/>
              </w:rPr>
              <w:t xml:space="preserve">in </w:t>
            </w:r>
            <w:r>
              <w:rPr>
                <w:rFonts w:asciiTheme="majorHAnsi" w:hAnsiTheme="majorHAnsi" w:cstheme="majorHAnsi"/>
              </w:rPr>
              <w:t xml:space="preserve">the </w:t>
            </w:r>
            <w:r w:rsidR="0011619F">
              <w:rPr>
                <w:rFonts w:asciiTheme="majorHAnsi" w:hAnsiTheme="majorHAnsi" w:cstheme="majorHAnsi"/>
              </w:rPr>
              <w:t>collection:</w:t>
            </w:r>
          </w:p>
          <w:p w14:paraId="741258E9" w14:textId="6F3B75CA" w:rsidR="004703D2" w:rsidRDefault="00EB09F9" w:rsidP="004703D2">
            <w:pPr>
              <w:rPr>
                <w:lang w:val="en"/>
              </w:rPr>
            </w:pPr>
            <w:hyperlink r:id="rId34" w:history="1">
              <w:r w:rsidR="004703D2" w:rsidRPr="00BA3858">
                <w:rPr>
                  <w:rStyle w:val="Hyperlink"/>
                  <w:rFonts w:asciiTheme="majorHAnsi" w:hAnsiTheme="majorHAnsi" w:cstheme="majorHAnsi"/>
                  <w:b/>
                  <w:lang w:val="en"/>
                </w:rPr>
                <w:t>https://www.awm.gov.au/learn/schools/resources/post45</w:t>
              </w:r>
            </w:hyperlink>
          </w:p>
          <w:p w14:paraId="5722A697" w14:textId="77777777" w:rsidR="004703D2" w:rsidRPr="004703D2" w:rsidRDefault="004703D2" w:rsidP="004703D2">
            <w:pPr>
              <w:rPr>
                <w:rFonts w:asciiTheme="majorHAnsi" w:hAnsiTheme="majorHAnsi" w:cstheme="majorHAnsi"/>
                <w:b/>
                <w:lang w:val="en"/>
              </w:rPr>
            </w:pPr>
          </w:p>
          <w:p w14:paraId="7EE9CB8A" w14:textId="5A511EAC" w:rsidR="004703D2" w:rsidRDefault="004703D2" w:rsidP="004703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Include</w:t>
            </w:r>
            <w:r w:rsidR="0011619F">
              <w:rPr>
                <w:rFonts w:asciiTheme="majorHAnsi" w:hAnsiTheme="majorHAnsi" w:cstheme="majorHAnsi"/>
              </w:rPr>
              <w:t>d is</w:t>
            </w:r>
            <w:r>
              <w:rPr>
                <w:rFonts w:asciiTheme="majorHAnsi" w:hAnsiTheme="majorHAnsi" w:cstheme="majorHAnsi"/>
              </w:rPr>
              <w:t xml:space="preserve"> material pertaining to post-</w:t>
            </w:r>
            <w:r w:rsidR="0011619F">
              <w:rPr>
                <w:rFonts w:asciiTheme="majorHAnsi" w:hAnsiTheme="majorHAnsi" w:cstheme="majorHAnsi"/>
              </w:rPr>
              <w:t xml:space="preserve"> Second </w:t>
            </w:r>
            <w:r>
              <w:rPr>
                <w:rFonts w:asciiTheme="majorHAnsi" w:hAnsiTheme="majorHAnsi" w:cstheme="majorHAnsi"/>
              </w:rPr>
              <w:t>World War</w:t>
            </w:r>
            <w:r w:rsidR="0011619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conflicts</w:t>
            </w:r>
            <w:r w:rsidR="0011619F">
              <w:rPr>
                <w:rFonts w:asciiTheme="majorHAnsi" w:hAnsiTheme="majorHAnsi" w:cstheme="majorHAnsi"/>
              </w:rPr>
              <w:t>, for example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23AAED17" w14:textId="77777777" w:rsidR="00C557E3" w:rsidRDefault="00C557E3" w:rsidP="004703D2">
            <w:pPr>
              <w:rPr>
                <w:rFonts w:asciiTheme="majorHAnsi" w:hAnsiTheme="majorHAnsi" w:cstheme="majorHAnsi"/>
                <w:lang w:val="en"/>
              </w:rPr>
            </w:pPr>
          </w:p>
          <w:p w14:paraId="6A3278B9" w14:textId="77777777" w:rsidR="004703D2" w:rsidRDefault="004703D2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u w:val="single"/>
                <w:lang w:val="en"/>
              </w:rPr>
            </w:pPr>
            <w:r>
              <w:rPr>
                <w:rFonts w:asciiTheme="majorHAnsi" w:hAnsiTheme="majorHAnsi" w:cstheme="majorHAnsi"/>
                <w:b/>
                <w:lang w:val="en"/>
              </w:rPr>
              <w:t xml:space="preserve">1. </w:t>
            </w:r>
            <w:hyperlink r:id="rId35" w:history="1">
              <w:r>
                <w:rPr>
                  <w:rStyle w:val="Hyperlink"/>
                  <w:rFonts w:asciiTheme="majorHAnsi" w:hAnsiTheme="majorHAnsi" w:cstheme="majorHAnsi"/>
                  <w:b/>
                  <w:lang w:val="en"/>
                </w:rPr>
                <w:t>Australian service in Indonesia after the Second World War</w:t>
              </w:r>
            </w:hyperlink>
          </w:p>
          <w:p w14:paraId="2D4E3A55" w14:textId="72BC751E" w:rsidR="004703D2" w:rsidRDefault="004703D2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lang w:val="en"/>
              </w:rPr>
            </w:pPr>
            <w:r>
              <w:rPr>
                <w:rFonts w:asciiTheme="majorHAnsi" w:hAnsiTheme="majorHAnsi" w:cstheme="majorHAnsi"/>
                <w:lang w:val="en"/>
              </w:rPr>
              <w:t xml:space="preserve">-explores the work of the Australian </w:t>
            </w:r>
            <w:proofErr w:type="spellStart"/>
            <w:r>
              <w:rPr>
                <w:rFonts w:asciiTheme="majorHAnsi" w:hAnsiTheme="majorHAnsi" w:cstheme="majorHAnsi"/>
                <w:lang w:val="en"/>
              </w:rPr>
              <w:t>Defence</w:t>
            </w:r>
            <w:proofErr w:type="spellEnd"/>
            <w:r>
              <w:rPr>
                <w:rFonts w:asciiTheme="majorHAnsi" w:hAnsiTheme="majorHAnsi" w:cstheme="majorHAnsi"/>
                <w:lang w:val="en"/>
              </w:rPr>
              <w:t xml:space="preserve"> Force in Indonesia</w:t>
            </w:r>
            <w:r w:rsidR="0011619F">
              <w:rPr>
                <w:rFonts w:asciiTheme="majorHAnsi" w:hAnsiTheme="majorHAnsi" w:cstheme="majorHAnsi"/>
                <w:lang w:val="en"/>
              </w:rPr>
              <w:t>,</w:t>
            </w:r>
            <w:r>
              <w:rPr>
                <w:rFonts w:asciiTheme="majorHAnsi" w:hAnsiTheme="majorHAnsi" w:cstheme="majorHAnsi"/>
                <w:lang w:val="en"/>
              </w:rPr>
              <w:t xml:space="preserve"> 1947</w:t>
            </w:r>
            <w:r w:rsidR="0011619F">
              <w:rPr>
                <w:rFonts w:asciiTheme="majorHAnsi" w:hAnsiTheme="majorHAnsi" w:cstheme="majorHAnsi"/>
                <w:lang w:val="en"/>
              </w:rPr>
              <w:t>-</w:t>
            </w:r>
            <w:r>
              <w:rPr>
                <w:rFonts w:asciiTheme="majorHAnsi" w:hAnsiTheme="majorHAnsi" w:cstheme="majorHAnsi"/>
                <w:lang w:val="en"/>
              </w:rPr>
              <w:t>2005</w:t>
            </w:r>
          </w:p>
          <w:p w14:paraId="2D20A2A6" w14:textId="77777777" w:rsidR="004703D2" w:rsidRDefault="00EB09F9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lang w:val="en"/>
              </w:rPr>
            </w:pPr>
            <w:hyperlink r:id="rId36" w:history="1">
              <w:r w:rsidR="004703D2">
                <w:rPr>
                  <w:rFonts w:asciiTheme="majorHAnsi" w:hAnsiTheme="majorHAnsi" w:cstheme="majorHAnsi"/>
                  <w:b/>
                  <w:lang w:val="en"/>
                </w:rPr>
                <w:br/>
              </w:r>
              <w:r w:rsidR="004703D2">
                <w:rPr>
                  <w:rStyle w:val="Hyperlink"/>
                  <w:rFonts w:asciiTheme="majorHAnsi" w:hAnsiTheme="majorHAnsi" w:cstheme="majorHAnsi"/>
                  <w:b/>
                  <w:lang w:val="en"/>
                </w:rPr>
                <w:t>2. Dust Off - Vietnam</w:t>
              </w:r>
            </w:hyperlink>
          </w:p>
          <w:p w14:paraId="580C96FD" w14:textId="42E5EC3F" w:rsidR="004703D2" w:rsidRDefault="004703D2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lang w:val="en"/>
              </w:rPr>
            </w:pPr>
            <w:r>
              <w:rPr>
                <w:rFonts w:asciiTheme="majorHAnsi" w:hAnsiTheme="majorHAnsi" w:cstheme="majorHAnsi"/>
                <w:lang w:val="en"/>
              </w:rPr>
              <w:t>-explores the 'dust-off' process and the experience</w:t>
            </w:r>
            <w:r w:rsidR="0011619F">
              <w:rPr>
                <w:rFonts w:asciiTheme="majorHAnsi" w:hAnsiTheme="majorHAnsi" w:cstheme="majorHAnsi"/>
                <w:lang w:val="en"/>
              </w:rPr>
              <w:t>s</w:t>
            </w:r>
            <w:r>
              <w:rPr>
                <w:rFonts w:asciiTheme="majorHAnsi" w:hAnsiTheme="majorHAnsi" w:cstheme="majorHAnsi"/>
                <w:lang w:val="en"/>
              </w:rPr>
              <w:t xml:space="preserve"> of wounded Australians returning home</w:t>
            </w:r>
          </w:p>
          <w:p w14:paraId="76095C32" w14:textId="77777777" w:rsidR="004703D2" w:rsidRDefault="004703D2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lang w:val="en"/>
              </w:rPr>
            </w:pPr>
          </w:p>
          <w:p w14:paraId="6022E6C5" w14:textId="77777777" w:rsidR="004703D2" w:rsidRDefault="004703D2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lang w:val="en"/>
              </w:rPr>
            </w:pPr>
            <w:r>
              <w:rPr>
                <w:rFonts w:asciiTheme="majorHAnsi" w:hAnsiTheme="majorHAnsi" w:cstheme="majorHAnsi"/>
                <w:b/>
                <w:lang w:val="en"/>
              </w:rPr>
              <w:t xml:space="preserve">3. </w:t>
            </w:r>
            <w:hyperlink r:id="rId37" w:history="1">
              <w:r>
                <w:rPr>
                  <w:rStyle w:val="Hyperlink"/>
                  <w:rFonts w:asciiTheme="majorHAnsi" w:hAnsiTheme="majorHAnsi" w:cstheme="majorHAnsi"/>
                  <w:b/>
                  <w:lang w:val="en"/>
                </w:rPr>
                <w:t>Hell no we won’t go!</w:t>
              </w:r>
            </w:hyperlink>
          </w:p>
          <w:p w14:paraId="35FBF01B" w14:textId="77777777" w:rsidR="004703D2" w:rsidRDefault="004703D2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lang w:val="en"/>
              </w:rPr>
            </w:pPr>
            <w:r>
              <w:rPr>
                <w:rFonts w:asciiTheme="majorHAnsi" w:hAnsiTheme="majorHAnsi" w:cstheme="majorHAnsi"/>
                <w:lang w:val="en"/>
              </w:rPr>
              <w:t>-explores the Vietnam Moratorium of May 1970- the largest public demonstrations in Australia’s history at the time</w:t>
            </w:r>
          </w:p>
          <w:p w14:paraId="1D36FBCD" w14:textId="77777777" w:rsidR="004703D2" w:rsidRDefault="00EB09F9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lang w:val="en"/>
              </w:rPr>
            </w:pPr>
            <w:hyperlink r:id="rId38" w:history="1">
              <w:r w:rsidR="004703D2">
                <w:rPr>
                  <w:rFonts w:asciiTheme="majorHAnsi" w:hAnsiTheme="majorHAnsi" w:cstheme="majorHAnsi"/>
                  <w:lang w:val="en"/>
                </w:rPr>
                <w:br/>
              </w:r>
              <w:r w:rsidR="004703D2">
                <w:rPr>
                  <w:rStyle w:val="Hyperlink"/>
                  <w:rFonts w:asciiTheme="majorHAnsi" w:hAnsiTheme="majorHAnsi" w:cstheme="majorHAnsi"/>
                  <w:b/>
                  <w:lang w:val="en"/>
                </w:rPr>
                <w:t xml:space="preserve">4. Ben </w:t>
              </w:r>
              <w:proofErr w:type="spellStart"/>
              <w:r w:rsidR="004703D2">
                <w:rPr>
                  <w:rStyle w:val="Hyperlink"/>
                  <w:rFonts w:asciiTheme="majorHAnsi" w:hAnsiTheme="majorHAnsi" w:cstheme="majorHAnsi"/>
                  <w:b/>
                  <w:lang w:val="en"/>
                </w:rPr>
                <w:t>Quilty</w:t>
              </w:r>
              <w:proofErr w:type="spellEnd"/>
              <w:r w:rsidR="004703D2">
                <w:rPr>
                  <w:rStyle w:val="Hyperlink"/>
                  <w:rFonts w:asciiTheme="majorHAnsi" w:hAnsiTheme="majorHAnsi" w:cstheme="majorHAnsi"/>
                  <w:b/>
                  <w:lang w:val="en"/>
                </w:rPr>
                <w:t>: After Afghanistan</w:t>
              </w:r>
            </w:hyperlink>
          </w:p>
          <w:p w14:paraId="61669F98" w14:textId="580BE028" w:rsidR="004703D2" w:rsidRDefault="004703D2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lang w:val="en"/>
              </w:rPr>
            </w:pPr>
            <w:r>
              <w:rPr>
                <w:rFonts w:asciiTheme="majorHAnsi" w:hAnsiTheme="majorHAnsi" w:cstheme="majorHAnsi"/>
                <w:lang w:val="en"/>
              </w:rPr>
              <w:t xml:space="preserve">-focuses on Ben </w:t>
            </w:r>
            <w:proofErr w:type="spellStart"/>
            <w:r>
              <w:rPr>
                <w:rFonts w:asciiTheme="majorHAnsi" w:hAnsiTheme="majorHAnsi" w:cstheme="majorHAnsi"/>
                <w:lang w:val="en"/>
              </w:rPr>
              <w:t>Quilty's</w:t>
            </w:r>
            <w:proofErr w:type="spellEnd"/>
            <w:r>
              <w:rPr>
                <w:rFonts w:asciiTheme="majorHAnsi" w:hAnsiTheme="majorHAnsi" w:cstheme="majorHAnsi"/>
                <w:lang w:val="en"/>
              </w:rPr>
              <w:t xml:space="preserve"> time in Afghanistan in October 2011 as an official war artist commissioned by the Australian War Memorial</w:t>
            </w:r>
          </w:p>
          <w:p w14:paraId="390565EF" w14:textId="77777777" w:rsidR="004703D2" w:rsidRDefault="004703D2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lang w:val="en"/>
              </w:rPr>
            </w:pPr>
          </w:p>
          <w:p w14:paraId="1F2441E4" w14:textId="77777777" w:rsidR="004703D2" w:rsidRDefault="004703D2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lang w:val="en"/>
              </w:rPr>
            </w:pPr>
            <w:r>
              <w:rPr>
                <w:rFonts w:asciiTheme="majorHAnsi" w:hAnsiTheme="majorHAnsi" w:cstheme="majorHAnsi"/>
                <w:b/>
                <w:lang w:val="en"/>
              </w:rPr>
              <w:t xml:space="preserve">5. </w:t>
            </w:r>
            <w:hyperlink r:id="rId39" w:history="1">
              <w:r>
                <w:rPr>
                  <w:rStyle w:val="Hyperlink"/>
                  <w:rFonts w:asciiTheme="majorHAnsi" w:hAnsiTheme="majorHAnsi" w:cstheme="majorHAnsi"/>
                  <w:b/>
                  <w:lang w:val="en"/>
                </w:rPr>
                <w:t>The courage for peace</w:t>
              </w:r>
            </w:hyperlink>
          </w:p>
          <w:p w14:paraId="4D0086EB" w14:textId="5AA342DC" w:rsidR="004703D2" w:rsidRDefault="0011619F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lang w:val="en"/>
              </w:rPr>
            </w:pPr>
            <w:r>
              <w:rPr>
                <w:rFonts w:asciiTheme="majorHAnsi" w:hAnsiTheme="majorHAnsi" w:cstheme="majorHAnsi"/>
                <w:lang w:val="en"/>
              </w:rPr>
              <w:t xml:space="preserve">- enables participants to join </w:t>
            </w:r>
            <w:r w:rsidR="004703D2">
              <w:rPr>
                <w:rFonts w:asciiTheme="majorHAnsi" w:hAnsiTheme="majorHAnsi" w:cstheme="majorHAnsi"/>
                <w:lang w:val="en"/>
              </w:rPr>
              <w:t xml:space="preserve">curators for a tour of </w:t>
            </w:r>
            <w:r w:rsidR="004703D2">
              <w:rPr>
                <w:rFonts w:asciiTheme="majorHAnsi" w:hAnsiTheme="majorHAnsi" w:cstheme="majorHAnsi"/>
                <w:i/>
                <w:lang w:val="en"/>
              </w:rPr>
              <w:t>The Courage for Peace</w:t>
            </w:r>
            <w:r w:rsidR="004703D2">
              <w:rPr>
                <w:rFonts w:asciiTheme="majorHAnsi" w:hAnsiTheme="majorHAnsi" w:cstheme="majorHAnsi"/>
                <w:lang w:val="en"/>
              </w:rPr>
              <w:t xml:space="preserve"> exhibition, uncovering some of the stories behind peacekeeping and humanitarian operations</w:t>
            </w:r>
            <w:hyperlink r:id="rId40" w:history="1">
              <w:r w:rsidR="004703D2">
                <w:rPr>
                  <w:rFonts w:asciiTheme="majorHAnsi" w:hAnsiTheme="majorHAnsi" w:cstheme="majorHAnsi"/>
                  <w:lang w:val="en"/>
                </w:rPr>
                <w:br/>
              </w:r>
            </w:hyperlink>
            <w:hyperlink r:id="rId41" w:history="1">
              <w:r w:rsidR="004703D2">
                <w:rPr>
                  <w:rFonts w:asciiTheme="majorHAnsi" w:hAnsiTheme="majorHAnsi" w:cstheme="majorHAnsi"/>
                  <w:b/>
                  <w:lang w:val="en"/>
                </w:rPr>
                <w:br/>
              </w:r>
              <w:r w:rsidR="004703D2">
                <w:rPr>
                  <w:rStyle w:val="Hyperlink"/>
                  <w:rFonts w:asciiTheme="majorHAnsi" w:hAnsiTheme="majorHAnsi" w:cstheme="majorHAnsi"/>
                  <w:b/>
                  <w:lang w:val="en"/>
                </w:rPr>
                <w:t>6. Ink in the Lines</w:t>
              </w:r>
            </w:hyperlink>
          </w:p>
          <w:p w14:paraId="2844BCF7" w14:textId="7BE323BB" w:rsidR="004703D2" w:rsidRDefault="004703D2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lang w:val="en"/>
              </w:rPr>
            </w:pPr>
            <w:r>
              <w:rPr>
                <w:rFonts w:asciiTheme="majorHAnsi" w:hAnsiTheme="majorHAnsi" w:cstheme="majorHAnsi"/>
                <w:lang w:val="en"/>
              </w:rPr>
              <w:t xml:space="preserve">Many members and veterans of the Australian </w:t>
            </w:r>
            <w:proofErr w:type="spellStart"/>
            <w:r>
              <w:rPr>
                <w:rFonts w:asciiTheme="majorHAnsi" w:hAnsiTheme="majorHAnsi" w:cstheme="majorHAnsi"/>
                <w:lang w:val="en"/>
              </w:rPr>
              <w:t>Defence</w:t>
            </w:r>
            <w:proofErr w:type="spellEnd"/>
            <w:r>
              <w:rPr>
                <w:rFonts w:asciiTheme="majorHAnsi" w:hAnsiTheme="majorHAnsi" w:cstheme="majorHAnsi"/>
                <w:lang w:val="en"/>
              </w:rPr>
              <w:t xml:space="preserve"> Forces have tattoos, and while their reasons for getting tattooed are varied, self-expression and belonging play a part</w:t>
            </w:r>
            <w:r w:rsidR="0011619F">
              <w:rPr>
                <w:rFonts w:asciiTheme="majorHAnsi" w:hAnsiTheme="majorHAnsi" w:cstheme="majorHAnsi"/>
                <w:lang w:val="en"/>
              </w:rPr>
              <w:t xml:space="preserve"> in the decisions related to this art form</w:t>
            </w:r>
          </w:p>
          <w:p w14:paraId="7012102B" w14:textId="77777777" w:rsidR="004703D2" w:rsidRDefault="004703D2" w:rsidP="004703D2">
            <w:pPr>
              <w:pStyle w:val="NoSpacing"/>
              <w:spacing w:line="276" w:lineRule="auto"/>
              <w:rPr>
                <w:rFonts w:asciiTheme="majorHAnsi" w:hAnsiTheme="majorHAnsi" w:cstheme="majorHAnsi"/>
                <w:lang w:val="en"/>
              </w:rPr>
            </w:pPr>
          </w:p>
          <w:p w14:paraId="44FA518E" w14:textId="77777777" w:rsidR="0078258B" w:rsidRDefault="0078258B" w:rsidP="0078258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Second World War</w:t>
            </w:r>
          </w:p>
          <w:p w14:paraId="5217838F" w14:textId="77777777" w:rsidR="0078258B" w:rsidRDefault="00EB09F9" w:rsidP="0078258B">
            <w:pPr>
              <w:rPr>
                <w:color w:val="1F497D"/>
              </w:rPr>
            </w:pPr>
            <w:hyperlink r:id="rId42" w:history="1">
              <w:r w:rsidR="0078258B">
                <w:rPr>
                  <w:rStyle w:val="Hyperlink"/>
                </w:rPr>
                <w:t>https://www.awm.gov.au/learn/schools/resources/realityinflames</w:t>
              </w:r>
            </w:hyperlink>
          </w:p>
          <w:p w14:paraId="6B1EF005" w14:textId="77777777" w:rsidR="0078258B" w:rsidRPr="0011619F" w:rsidRDefault="0078258B" w:rsidP="0078258B">
            <w:pPr>
              <w:rPr>
                <w:rFonts w:ascii="Calibri Light" w:hAnsi="Calibri Light" w:cs="Calibri Light"/>
                <w:i/>
                <w:iCs/>
              </w:rPr>
            </w:pPr>
            <w:r w:rsidRPr="0011619F">
              <w:rPr>
                <w:rFonts w:ascii="Calibri Light" w:hAnsi="Calibri Light" w:cs="Calibri Light"/>
                <w:i/>
                <w:iCs/>
              </w:rPr>
              <w:t>Reality in Flames</w:t>
            </w:r>
          </w:p>
          <w:p w14:paraId="4FADCB1F" w14:textId="5F702E4D" w:rsidR="004703D2" w:rsidRDefault="0078258B" w:rsidP="007D77AA">
            <w:pPr>
              <w:rPr>
                <w:rFonts w:ascii="Calibri Light" w:hAnsi="Calibri Light" w:cs="Calibri Light"/>
              </w:rPr>
            </w:pPr>
            <w:r w:rsidRPr="0011619F">
              <w:rPr>
                <w:rFonts w:ascii="Calibri Light" w:hAnsi="Calibri Light" w:cs="Calibri Light"/>
              </w:rPr>
              <w:t xml:space="preserve">Drawing on their immediate experiences, Australian artists responded to the upheaval and anxiety of the Second World War to create powerful imagery that explored all aspects of life during </w:t>
            </w:r>
            <w:r w:rsidR="003325E3">
              <w:rPr>
                <w:rFonts w:ascii="Calibri Light" w:hAnsi="Calibri Light" w:cs="Calibri Light"/>
              </w:rPr>
              <w:t xml:space="preserve">that </w:t>
            </w:r>
            <w:r w:rsidRPr="0011619F">
              <w:rPr>
                <w:rFonts w:ascii="Calibri Light" w:hAnsi="Calibri Light" w:cs="Calibri Light"/>
              </w:rPr>
              <w:t>wa</w:t>
            </w:r>
            <w:r w:rsidR="003325E3">
              <w:rPr>
                <w:rFonts w:ascii="Calibri Light" w:hAnsi="Calibri Light" w:cs="Calibri Light"/>
              </w:rPr>
              <w:t>r</w:t>
            </w:r>
          </w:p>
          <w:p w14:paraId="6DAD2187" w14:textId="25EC24EA" w:rsidR="003325E3" w:rsidRDefault="003325E3" w:rsidP="007D77AA">
            <w:pPr>
              <w:rPr>
                <w:rFonts w:ascii="Calibri Light" w:hAnsi="Calibri Light" w:cs="Calibri Light"/>
              </w:rPr>
            </w:pPr>
          </w:p>
          <w:p w14:paraId="6F50FBFF" w14:textId="10E0616C" w:rsidR="003325E3" w:rsidRDefault="003325E3" w:rsidP="007D77AA">
            <w:pPr>
              <w:rPr>
                <w:rFonts w:ascii="Calibri Light" w:hAnsi="Calibri Light" w:cs="Calibri Light"/>
              </w:rPr>
            </w:pPr>
          </w:p>
          <w:p w14:paraId="0B062269" w14:textId="0562D623" w:rsidR="003325E3" w:rsidRDefault="003325E3" w:rsidP="007D77AA">
            <w:pPr>
              <w:rPr>
                <w:rFonts w:ascii="Calibri Light" w:hAnsi="Calibri Light" w:cs="Calibri Light"/>
              </w:rPr>
            </w:pPr>
          </w:p>
          <w:p w14:paraId="3BBDB4D6" w14:textId="77CF5174" w:rsidR="003325E3" w:rsidRDefault="003325E3" w:rsidP="007D77AA">
            <w:pPr>
              <w:rPr>
                <w:rFonts w:ascii="Calibri Light" w:hAnsi="Calibri Light" w:cs="Calibri Light"/>
              </w:rPr>
            </w:pPr>
          </w:p>
          <w:p w14:paraId="6774B591" w14:textId="03666135" w:rsidR="003325E3" w:rsidRDefault="003325E3" w:rsidP="007D77AA">
            <w:pPr>
              <w:rPr>
                <w:rFonts w:ascii="Calibri Light" w:hAnsi="Calibri Light" w:cs="Calibri Light"/>
              </w:rPr>
            </w:pPr>
          </w:p>
          <w:p w14:paraId="09ABE674" w14:textId="22B4AC76" w:rsidR="003325E3" w:rsidRDefault="003325E3" w:rsidP="007D77AA">
            <w:pPr>
              <w:rPr>
                <w:rFonts w:ascii="Calibri Light" w:hAnsi="Calibri Light" w:cs="Calibri Light"/>
              </w:rPr>
            </w:pPr>
          </w:p>
          <w:p w14:paraId="57414E36" w14:textId="418969D4" w:rsidR="004703D2" w:rsidRPr="004703D2" w:rsidRDefault="004703D2" w:rsidP="007D77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547B" w14:paraId="00E5046A" w14:textId="77777777" w:rsidTr="004F7B8A">
        <w:tc>
          <w:tcPr>
            <w:tcW w:w="9016" w:type="dxa"/>
            <w:gridSpan w:val="2"/>
          </w:tcPr>
          <w:p w14:paraId="688BE8F8" w14:textId="77777777" w:rsidR="00CA547B" w:rsidRDefault="00CA547B" w:rsidP="004F7B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"/>
              </w:rPr>
            </w:pPr>
            <w:r w:rsidRPr="004703D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"/>
              </w:rPr>
              <w:lastRenderedPageBreak/>
              <w:t>National Museum of Australia</w:t>
            </w:r>
          </w:p>
          <w:p w14:paraId="5A755C57" w14:textId="77777777" w:rsidR="00CA547B" w:rsidRPr="00D31060" w:rsidRDefault="00CA547B" w:rsidP="004F7B8A">
            <w:pPr>
              <w:rPr>
                <w:rFonts w:asciiTheme="minorHAnsi" w:hAnsiTheme="minorHAnsi" w:cstheme="minorHAnsi"/>
                <w:b/>
                <w:bCs/>
                <w:lang w:val="en"/>
              </w:rPr>
            </w:pPr>
          </w:p>
          <w:p w14:paraId="6364652C" w14:textId="77777777" w:rsidR="00CA547B" w:rsidRDefault="00EB09F9" w:rsidP="004F7B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alibri" w:eastAsia="PMingLiU" w:hAnsi="Calibri" w:cs="Calibri"/>
              </w:rPr>
            </w:pPr>
            <w:hyperlink r:id="rId43" w:history="1">
              <w:r w:rsidR="00CA547B">
                <w:rPr>
                  <w:rStyle w:val="Hyperlink"/>
                </w:rPr>
                <w:t>digital-classroom.nma.gov.au</w:t>
              </w:r>
            </w:hyperlink>
          </w:p>
          <w:p w14:paraId="1D8A3495" w14:textId="77777777" w:rsidR="00CA547B" w:rsidRDefault="00EB09F9" w:rsidP="004F7B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hyperlink r:id="rId44" w:history="1">
              <w:r w:rsidR="00CA547B">
                <w:rPr>
                  <w:rStyle w:val="Hyperlink"/>
                </w:rPr>
                <w:t>nma.gov.au</w:t>
              </w:r>
            </w:hyperlink>
          </w:p>
          <w:p w14:paraId="7AA401C6" w14:textId="77777777" w:rsidR="00CA547B" w:rsidRPr="004703D2" w:rsidRDefault="00CA547B" w:rsidP="005A7D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65F58" w:rsidRPr="00F65F58" w14:paraId="64D9D12D" w14:textId="77777777" w:rsidTr="004F7B8A">
        <w:tc>
          <w:tcPr>
            <w:tcW w:w="4508" w:type="dxa"/>
          </w:tcPr>
          <w:p w14:paraId="3DE0F347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Curriculum</w:t>
            </w:r>
          </w:p>
        </w:tc>
        <w:tc>
          <w:tcPr>
            <w:tcW w:w="4508" w:type="dxa"/>
          </w:tcPr>
          <w:p w14:paraId="79E1C1EE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ADMDC/NMA links</w:t>
            </w:r>
          </w:p>
        </w:tc>
      </w:tr>
      <w:tr w:rsidR="00F65F58" w:rsidRPr="00F65F58" w14:paraId="068F5407" w14:textId="77777777" w:rsidTr="004F7B8A">
        <w:tc>
          <w:tcPr>
            <w:tcW w:w="4508" w:type="dxa"/>
          </w:tcPr>
          <w:p w14:paraId="133AA628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  <w:b/>
                <w:bCs/>
              </w:rPr>
              <w:t>Foundations, 60,000 BCE-1901</w:t>
            </w:r>
          </w:p>
          <w:p w14:paraId="4C051B35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Aboriginal land management in Deep Time to 1788</w:t>
            </w:r>
          </w:p>
          <w:p w14:paraId="7AF18F73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European land use and changes to the land, 1788-1850</w:t>
            </w:r>
          </w:p>
          <w:p w14:paraId="20192EC2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Aboriginal responses to colonisation, 1788-1901</w:t>
            </w:r>
          </w:p>
          <w:p w14:paraId="4ABB8147" w14:textId="4485BA62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Colonial</w:t>
            </w:r>
            <w:r w:rsidR="003325E3">
              <w:rPr>
                <w:rFonts w:asciiTheme="minorHAnsi" w:eastAsiaTheme="minorHAnsi" w:hAnsiTheme="minorHAnsi" w:cstheme="minorBidi"/>
              </w:rPr>
              <w:t xml:space="preserve"> </w:t>
            </w:r>
            <w:r w:rsidRPr="00F65F58">
              <w:rPr>
                <w:rFonts w:asciiTheme="minorHAnsi" w:eastAsiaTheme="minorHAnsi" w:hAnsiTheme="minorHAnsi" w:cstheme="minorBidi"/>
              </w:rPr>
              <w:t>land use and changes to the land, 1851-1901.</w:t>
            </w:r>
          </w:p>
        </w:tc>
        <w:tc>
          <w:tcPr>
            <w:tcW w:w="4508" w:type="dxa"/>
          </w:tcPr>
          <w:p w14:paraId="165B4DE6" w14:textId="0E604D90" w:rsid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45" w:history="1">
              <w:r w:rsidR="00F65F58" w:rsidRPr="00F65F58">
                <w:rPr>
                  <w:rStyle w:val="Hyperlink"/>
                  <w:rFonts w:asciiTheme="minorHAnsi" w:eastAsiaTheme="minorHAnsi" w:hAnsiTheme="minorHAnsi" w:cstheme="minorBidi"/>
                </w:rPr>
                <w:t>https://digital-classroom.nma.gov.au/images/ancient-midden-freshwater-mussel-shells-lake-mungo</w:t>
              </w:r>
            </w:hyperlink>
          </w:p>
          <w:p w14:paraId="47C82BF9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654BCADE" w14:textId="06C6C88C" w:rsid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46" w:history="1">
              <w:r w:rsidR="00F65F58" w:rsidRPr="00F65F58">
                <w:rPr>
                  <w:rStyle w:val="Hyperlink"/>
                  <w:rFonts w:asciiTheme="minorHAnsi" w:eastAsiaTheme="minorHAnsi" w:hAnsiTheme="minorHAnsi" w:cstheme="minorBidi"/>
                </w:rPr>
                <w:t>https://digital-classroom.nma.gov.au/defining-moments/earliest-known-rock-art</w:t>
              </w:r>
            </w:hyperlink>
          </w:p>
          <w:p w14:paraId="27B29791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096D6541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47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https://digital-classroom.nma.gov.au/defining-moments/arrival-dingo</w:t>
              </w:r>
            </w:hyperlink>
          </w:p>
          <w:p w14:paraId="44D21E58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4BE2E47E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48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Pemulwuy resists the colonists | Australia’s Defining Moments Digital Classroom | National Museum of Australia (nma.gov.au)</w:t>
              </w:r>
            </w:hyperlink>
            <w:r w:rsidR="00F65F58" w:rsidRPr="00F65F58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5A649D66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60F733E9" w14:textId="62DAD051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49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Ancient Australia Defining Moments | Australia’s Defining Moments Digital Classroom | National Museum of Australia (nma.gov.au)</w:t>
              </w:r>
            </w:hyperlink>
            <w:r w:rsidR="00F65F58" w:rsidRPr="00F65F58">
              <w:rPr>
                <w:rFonts w:asciiTheme="minorHAnsi" w:eastAsiaTheme="minorHAnsi" w:hAnsiTheme="minorHAnsi" w:cstheme="minorBidi"/>
              </w:rPr>
              <w:t xml:space="preserve"> </w:t>
            </w:r>
            <w:r w:rsidR="003325E3">
              <w:rPr>
                <w:rFonts w:asciiTheme="minorHAnsi" w:eastAsiaTheme="minorHAnsi" w:hAnsiTheme="minorHAnsi" w:cstheme="minorBidi"/>
              </w:rPr>
              <w:t>This is a Yea</w:t>
            </w:r>
            <w:r w:rsidR="00F65F58" w:rsidRPr="00F65F58">
              <w:rPr>
                <w:rFonts w:asciiTheme="minorHAnsi" w:eastAsiaTheme="minorHAnsi" w:hAnsiTheme="minorHAnsi" w:cstheme="minorBidi"/>
              </w:rPr>
              <w:t xml:space="preserve">r 7 unit but </w:t>
            </w:r>
            <w:r w:rsidR="003325E3">
              <w:rPr>
                <w:rFonts w:asciiTheme="minorHAnsi" w:eastAsiaTheme="minorHAnsi" w:hAnsiTheme="minorHAnsi" w:cstheme="minorBidi"/>
              </w:rPr>
              <w:t>with</w:t>
            </w:r>
            <w:r w:rsidR="00F65F58" w:rsidRPr="00F65F58">
              <w:rPr>
                <w:rFonts w:asciiTheme="minorHAnsi" w:eastAsiaTheme="minorHAnsi" w:hAnsiTheme="minorHAnsi" w:cstheme="minorBidi"/>
              </w:rPr>
              <w:t xml:space="preserve"> </w:t>
            </w:r>
            <w:r w:rsidR="003325E3">
              <w:rPr>
                <w:rFonts w:asciiTheme="minorHAnsi" w:eastAsiaTheme="minorHAnsi" w:hAnsiTheme="minorHAnsi" w:cstheme="minorBidi"/>
              </w:rPr>
              <w:t>many</w:t>
            </w:r>
            <w:r w:rsidR="00F65F58" w:rsidRPr="00F65F58">
              <w:rPr>
                <w:rFonts w:asciiTheme="minorHAnsi" w:eastAsiaTheme="minorHAnsi" w:hAnsiTheme="minorHAnsi" w:cstheme="minorBidi"/>
              </w:rPr>
              <w:t xml:space="preserve"> </w:t>
            </w:r>
            <w:r w:rsidR="003325E3">
              <w:rPr>
                <w:rFonts w:asciiTheme="minorHAnsi" w:eastAsiaTheme="minorHAnsi" w:hAnsiTheme="minorHAnsi" w:cstheme="minorBidi"/>
              </w:rPr>
              <w:t xml:space="preserve">valid </w:t>
            </w:r>
            <w:r w:rsidR="00F65F58" w:rsidRPr="00F65F58">
              <w:rPr>
                <w:rFonts w:asciiTheme="minorHAnsi" w:eastAsiaTheme="minorHAnsi" w:hAnsiTheme="minorHAnsi" w:cstheme="minorBidi"/>
              </w:rPr>
              <w:t>links</w:t>
            </w:r>
          </w:p>
        </w:tc>
      </w:tr>
      <w:tr w:rsidR="00F65F58" w:rsidRPr="00F65F58" w14:paraId="5CF6BF91" w14:textId="77777777" w:rsidTr="004F7B8A">
        <w:tc>
          <w:tcPr>
            <w:tcW w:w="4508" w:type="dxa"/>
          </w:tcPr>
          <w:p w14:paraId="439756FA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  <w:b/>
                <w:bCs/>
              </w:rPr>
              <w:t>Transformations, 1950-2010</w:t>
            </w:r>
          </w:p>
          <w:p w14:paraId="1FF084C5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Nuclear energy debates, 1956-1986</w:t>
            </w:r>
          </w:p>
          <w:p w14:paraId="69224C23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Four environmental campaigns, 1950-1983</w:t>
            </w:r>
          </w:p>
          <w:p w14:paraId="63CFBAFF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Growth, land and mining, 1950-2010</w:t>
            </w:r>
          </w:p>
          <w:p w14:paraId="3345B223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Environmental movements contest the Anthropocene, 1986-2010.</w:t>
            </w:r>
          </w:p>
          <w:p w14:paraId="13CFB8F7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08" w:type="dxa"/>
          </w:tcPr>
          <w:p w14:paraId="22F7A3D0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50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Rum Jungle uranium mine opens | Australia’s Defining Moments Digital Classroom | National Museum of Australia (nma.gov.au)</w:t>
              </w:r>
            </w:hyperlink>
          </w:p>
          <w:p w14:paraId="1154325D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661CDE6B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51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Anthropocene now | Australia’s Defining Moments Digital Classroom | National Museum of Australia (nma.gov.au)</w:t>
              </w:r>
            </w:hyperlink>
          </w:p>
          <w:p w14:paraId="7C8D9765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5EF5E671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52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Australia signs the Nuclear Non-Proliferation Treaty, 27 February 1970 | Australia’s Defining Moments Digital Classroom | National Museum of Australia (nma.gov.au)</w:t>
              </w:r>
            </w:hyperlink>
          </w:p>
          <w:p w14:paraId="1A96547F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14343EA4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53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Rights and freedoms Defining Moments, 1945–present | 1.4 1956 First nuclear weapons test by British at Maralinga | Australia’s Defining Moments Digital Classroom | National Museum of Australia (nma.gov.au)</w:t>
              </w:r>
            </w:hyperlink>
          </w:p>
          <w:p w14:paraId="3353DD64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33610791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54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Atomic blast during Operation Buffalo nuclear tests, Maralinga, South Australia | Australia’s Defining Moments Digital Classroom | National Museum of Australia (nma.gov.au)</w:t>
              </w:r>
            </w:hyperlink>
          </w:p>
          <w:p w14:paraId="2C6C0F08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6AC44E0F" w14:textId="77777777" w:rsidR="00F65F58" w:rsidRDefault="00EB09F9" w:rsidP="00F65F58">
            <w:pPr>
              <w:rPr>
                <w:rFonts w:asciiTheme="minorHAnsi" w:eastAsiaTheme="minorHAnsi" w:hAnsiTheme="minorHAnsi" w:cstheme="minorBidi"/>
                <w:color w:val="0563C1" w:themeColor="hyperlink"/>
                <w:u w:val="single"/>
              </w:rPr>
            </w:pPr>
            <w:hyperlink r:id="rId55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Australia’s environmental history | Australia’s Defining Moments Digital Classroom | National Museum of Australia (nma.gov.au)</w:t>
              </w:r>
            </w:hyperlink>
          </w:p>
          <w:p w14:paraId="24DE0F25" w14:textId="77777777" w:rsidR="003325E3" w:rsidRDefault="003325E3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48897914" w14:textId="07F38911" w:rsidR="003325E3" w:rsidRPr="00F65F58" w:rsidRDefault="003325E3" w:rsidP="00F65F58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</w:tr>
      <w:tr w:rsidR="00F65F58" w:rsidRPr="00F65F58" w14:paraId="61F04277" w14:textId="77777777" w:rsidTr="004F7B8A">
        <w:tc>
          <w:tcPr>
            <w:tcW w:w="4508" w:type="dxa"/>
          </w:tcPr>
          <w:p w14:paraId="01200C93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>Foundations, 1788-1913</w:t>
            </w:r>
          </w:p>
          <w:p w14:paraId="458F1049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  <w:i/>
                <w:iCs/>
              </w:rPr>
              <w:t>Invasion and the Frontier Wars, 1788-1913</w:t>
            </w:r>
          </w:p>
          <w:p w14:paraId="1C7092CB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Frontier Wars</w:t>
            </w:r>
          </w:p>
          <w:p w14:paraId="25BC459F" w14:textId="41C0B076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significant events and influential ideas</w:t>
            </w:r>
          </w:p>
          <w:p w14:paraId="42C7B05D" w14:textId="183E6F45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diverse and competing perspectives</w:t>
            </w:r>
          </w:p>
          <w:p w14:paraId="01C5C431" w14:textId="2E3F59B9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continuity and change since.</w:t>
            </w:r>
          </w:p>
          <w:p w14:paraId="1B044E91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0F46BE17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  <w:i/>
                <w:iCs/>
              </w:rPr>
              <w:t>Self-government, 1788-1860</w:t>
            </w:r>
          </w:p>
          <w:p w14:paraId="27F71F52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Self-government</w:t>
            </w:r>
          </w:p>
          <w:p w14:paraId="4E7951A6" w14:textId="1938294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significant events establishing authority and government</w:t>
            </w:r>
          </w:p>
          <w:p w14:paraId="1F3E2460" w14:textId="1A944B2F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influential ideas</w:t>
            </w:r>
          </w:p>
          <w:p w14:paraId="2E062CE6" w14:textId="4614FB01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diverse and competing perspectives</w:t>
            </w:r>
          </w:p>
          <w:p w14:paraId="3DF54BF8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Continuity and change to 1860.</w:t>
            </w:r>
          </w:p>
          <w:p w14:paraId="06704FD3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1DB30641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  <w:i/>
                <w:iCs/>
              </w:rPr>
              <w:t>The rise of unionism, 1860-1901</w:t>
            </w:r>
          </w:p>
          <w:p w14:paraId="7803B2B8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The emerging union movement</w:t>
            </w:r>
          </w:p>
          <w:p w14:paraId="40EC2525" w14:textId="4F61D5C3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significant events and diverse perspectives</w:t>
            </w:r>
          </w:p>
          <w:p w14:paraId="3E59D049" w14:textId="77528595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influential ideas.</w:t>
            </w:r>
          </w:p>
          <w:p w14:paraId="1698642D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6F47DC26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  <w:i/>
                <w:iCs/>
              </w:rPr>
              <w:t>A nation federates and legislates, 1889-1913</w:t>
            </w:r>
          </w:p>
          <w:p w14:paraId="32D59AC9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Around Federation</w:t>
            </w:r>
          </w:p>
          <w:p w14:paraId="479FE9F6" w14:textId="33DBACFA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significant events and perspectives</w:t>
            </w:r>
          </w:p>
          <w:p w14:paraId="5CDF4D25" w14:textId="0D87B270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influential ideas</w:t>
            </w:r>
          </w:p>
          <w:p w14:paraId="7D9F68EB" w14:textId="29D52E55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Continuity and change after Federation.</w:t>
            </w:r>
          </w:p>
          <w:p w14:paraId="6788EF76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0B5777E2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  <w:i/>
                <w:iCs/>
              </w:rPr>
              <w:t>The fight for female suffrage, 1883-1913</w:t>
            </w:r>
          </w:p>
          <w:p w14:paraId="359ECFCD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Influential ideas and significant events</w:t>
            </w:r>
          </w:p>
          <w:p w14:paraId="2896B5E1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Diverse and competing perspectives</w:t>
            </w:r>
          </w:p>
          <w:p w14:paraId="38CC3A60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Continuity and change in the fight for female suffrage.</w:t>
            </w:r>
          </w:p>
          <w:p w14:paraId="0DE85337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08" w:type="dxa"/>
          </w:tcPr>
          <w:p w14:paraId="24CD0C65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56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Women’s suffrage | National Museum of Australia (nma.gov.au)</w:t>
              </w:r>
            </w:hyperlink>
          </w:p>
          <w:p w14:paraId="696146FF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53ED8957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57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Progressive ideas and movements Defining Moments, 1750–1918 | Australia’s Defining Moments Digital Classroom | National Museum of Australia (nma.gov.au)</w:t>
              </w:r>
            </w:hyperlink>
          </w:p>
          <w:p w14:paraId="5ABAAD3D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4694E6CF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58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Opening of First Commonwealth Parliament, by artist Charles Nuttall, 1902 | Australia’s Defining Moments Digital Classroom | National Museum of Australia (nma.gov.au)</w:t>
              </w:r>
            </w:hyperlink>
          </w:p>
          <w:p w14:paraId="59677162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7075A2CD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59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Women granted the vote in federal elections | Australia’s Defining Moments Digital Classroom | National Museum of Australia (nma.gov.au)</w:t>
              </w:r>
            </w:hyperlink>
          </w:p>
          <w:p w14:paraId="6BF38962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78EA58A1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60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Jennie George’s grey and blue enamel mug bearing a Council for Aboriginal Reconciliation sticker | Australia’s Defining Moments Digital Classroom | National Museum of Australia (nma.gov.au)</w:t>
              </w:r>
            </w:hyperlink>
          </w:p>
          <w:p w14:paraId="51570535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126FB1AD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61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Making a nation Defining Moments, 1750–1901 | 3.3 1885 Employers unite: Victorian Employers’ Union | Australia’s Defining Moments Digital Classroom | National Museum of Australia (nma.gov.au)</w:t>
              </w:r>
            </w:hyperlink>
          </w:p>
          <w:p w14:paraId="61FFF125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32D2F43B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62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Communist Party of Australia banner produced at the time of the Kelly’s Bush green ban | Australia’s Defining Moments Digital Classroom | National Museum of Australia (nma.gov.au)</w:t>
              </w:r>
            </w:hyperlink>
          </w:p>
        </w:tc>
      </w:tr>
      <w:tr w:rsidR="00F65F58" w:rsidRPr="00F65F58" w14:paraId="1BFF78F9" w14:textId="77777777" w:rsidTr="004F7B8A">
        <w:tc>
          <w:tcPr>
            <w:tcW w:w="4508" w:type="dxa"/>
          </w:tcPr>
          <w:p w14:paraId="5932B090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  <w:i/>
                <w:iCs/>
              </w:rPr>
              <w:t>'From little things, big things grow', 1957-1966</w:t>
            </w:r>
          </w:p>
          <w:p w14:paraId="08AC5C48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Significant events in the campaign for civil rights</w:t>
            </w:r>
          </w:p>
          <w:p w14:paraId="575CF312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Influential ideas at the beginning of the 1960s</w:t>
            </w:r>
          </w:p>
          <w:p w14:paraId="23E5ED3B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Diverse and competing perspectives in the early 1960s</w:t>
            </w:r>
          </w:p>
          <w:p w14:paraId="46CAB54B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Continuity and change from 1957 to 1966.</w:t>
            </w:r>
          </w:p>
          <w:p w14:paraId="6999D550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4D993A73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  <w:i/>
                <w:iCs/>
              </w:rPr>
              <w:t>'Right wrongs, write yes', 1967-1975</w:t>
            </w:r>
          </w:p>
          <w:p w14:paraId="0A642632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1967-1975</w:t>
            </w:r>
          </w:p>
          <w:p w14:paraId="3F1A0C87" w14:textId="7F76A0E4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significant events</w:t>
            </w:r>
          </w:p>
          <w:p w14:paraId="655F7201" w14:textId="0507597F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influential ideas on liberation movements</w:t>
            </w:r>
          </w:p>
          <w:p w14:paraId="19A57DD6" w14:textId="06010A9F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diverse and competing perspectives</w:t>
            </w:r>
          </w:p>
          <w:p w14:paraId="7CD93CAD" w14:textId="7101330D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continuity and change.</w:t>
            </w:r>
          </w:p>
          <w:p w14:paraId="34F9B30F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6A5703D0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  <w:i/>
                <w:iCs/>
              </w:rPr>
              <w:t>Celebration of a nation? 1975-1988</w:t>
            </w:r>
          </w:p>
          <w:p w14:paraId="273A39B3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Significant events of the late 70s-early 80s</w:t>
            </w:r>
          </w:p>
          <w:p w14:paraId="7FC45A85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1975-1988</w:t>
            </w:r>
          </w:p>
          <w:p w14:paraId="2AD19FFF" w14:textId="561069E4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influential ideas on social movements</w:t>
            </w:r>
          </w:p>
          <w:p w14:paraId="46F3C0E5" w14:textId="4EBB2685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diverse and competing perspectives</w:t>
            </w:r>
          </w:p>
          <w:p w14:paraId="103BE111" w14:textId="7CC19C39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continuity and change</w:t>
            </w:r>
          </w:p>
          <w:p w14:paraId="643614C7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09C7FAB3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  <w:i/>
                <w:iCs/>
              </w:rPr>
              <w:lastRenderedPageBreak/>
              <w:t>'Establishes a fundamental truth and ... basis for justice', 1988-1998</w:t>
            </w:r>
          </w:p>
          <w:p w14:paraId="57E967CA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1988-1998</w:t>
            </w:r>
          </w:p>
          <w:p w14:paraId="303F8427" w14:textId="2A9323BB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significant events</w:t>
            </w:r>
          </w:p>
          <w:p w14:paraId="0FBDA8DC" w14:textId="69CE7B7F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influential ideas</w:t>
            </w:r>
          </w:p>
          <w:p w14:paraId="7A03A77B" w14:textId="3164AAAD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- diverse and competing perspectives</w:t>
            </w:r>
          </w:p>
          <w:p w14:paraId="793D1649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  <w:r w:rsidRPr="00F65F58">
              <w:rPr>
                <w:rFonts w:asciiTheme="minorHAnsi" w:eastAsiaTheme="minorHAnsi" w:hAnsiTheme="minorHAnsi" w:cstheme="minorBidi"/>
              </w:rPr>
              <w:t>Continuity and change by 1998.</w:t>
            </w:r>
          </w:p>
          <w:p w14:paraId="378CF16C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08" w:type="dxa"/>
          </w:tcPr>
          <w:p w14:paraId="35167C4D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63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From Little Things Big Things Grow: Fighting for Indigenous Rights 1920–1970 | National Museum of Australia (nma.gov.au)</w:t>
              </w:r>
            </w:hyperlink>
          </w:p>
          <w:p w14:paraId="3AAB5510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59EB1E67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64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Equal pay for women | Australia’s Defining Moments Digital Classroom | National Museum of Australia (nma.gov.au)</w:t>
              </w:r>
            </w:hyperlink>
          </w:p>
          <w:p w14:paraId="2BFA3C39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39E51247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65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A ‘Vote Yes’ poster advertising the Equality Campaign | Australia’s Defining Moments Digital Classroom | National Museum of Australia (nma.gov.au)</w:t>
              </w:r>
            </w:hyperlink>
          </w:p>
          <w:p w14:paraId="23FAF0C8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6CF3EAF7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66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Australia since Federation Defining Moments, 1901–present | 4.4 1967 Changing the Constitution | Australia’s Defining Moments Digital Classroom | National Museum of Australia (nma.gov.au)</w:t>
              </w:r>
            </w:hyperlink>
          </w:p>
          <w:p w14:paraId="6489FC6A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1CA563EC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67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‘YES’ for Aborigines pamphlet, 1967 | Australia’s Defining Moments Digital Classroom | National Museum of Australia (nma.gov.au)</w:t>
              </w:r>
            </w:hyperlink>
          </w:p>
          <w:p w14:paraId="0FF7206A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16A34785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68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Gough Whitlam pouring a handful of red soil into the hands of Vincent Lingiari, by Mervyn Bishop, 1975 | Australia’s Defining Moments Digital Classroom | National Museum of Australia (nma.gov.au)</w:t>
              </w:r>
            </w:hyperlink>
          </w:p>
          <w:p w14:paraId="10FB77F6" w14:textId="77777777" w:rsidR="00F65F58" w:rsidRPr="00F65F58" w:rsidRDefault="00F65F58" w:rsidP="00F65F58">
            <w:pPr>
              <w:rPr>
                <w:rFonts w:asciiTheme="minorHAnsi" w:eastAsiaTheme="minorHAnsi" w:hAnsiTheme="minorHAnsi" w:cstheme="minorBidi"/>
              </w:rPr>
            </w:pPr>
          </w:p>
          <w:p w14:paraId="1A35C627" w14:textId="77777777" w:rsidR="00F65F58" w:rsidRPr="00F65F58" w:rsidRDefault="00EB09F9" w:rsidP="00F65F58">
            <w:pPr>
              <w:rPr>
                <w:rFonts w:asciiTheme="minorHAnsi" w:eastAsiaTheme="minorHAnsi" w:hAnsiTheme="minorHAnsi" w:cstheme="minorBidi"/>
              </w:rPr>
            </w:pPr>
            <w:hyperlink r:id="rId69" w:history="1">
              <w:r w:rsidR="00F65F58" w:rsidRPr="00F65F58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Indigenous Australians granted the right to vote | Australia’s Defining Moments Digital Classroom | National Museum of Australia (nma.gov.au)</w:t>
              </w:r>
            </w:hyperlink>
          </w:p>
        </w:tc>
      </w:tr>
    </w:tbl>
    <w:p w14:paraId="0AD6F40E" w14:textId="735D6399" w:rsidR="004703D2" w:rsidRDefault="004703D2" w:rsidP="007D77AA">
      <w:pPr>
        <w:rPr>
          <w:rFonts w:asciiTheme="majorHAnsi" w:hAnsiTheme="majorHAnsi" w:cstheme="majorHAnsi"/>
          <w:lang w:val="en"/>
        </w:rPr>
      </w:pPr>
    </w:p>
    <w:sectPr w:rsidR="004703D2" w:rsidSect="00C557E3">
      <w:headerReference w:type="default" r:id="rId70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2064C" w14:textId="77777777" w:rsidR="00EB09F9" w:rsidRDefault="00EB09F9" w:rsidP="003325E3">
      <w:r>
        <w:separator/>
      </w:r>
    </w:p>
  </w:endnote>
  <w:endnote w:type="continuationSeparator" w:id="0">
    <w:p w14:paraId="1DB7985E" w14:textId="77777777" w:rsidR="00EB09F9" w:rsidRDefault="00EB09F9" w:rsidP="0033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F289" w14:textId="77777777" w:rsidR="00EB09F9" w:rsidRDefault="00EB09F9" w:rsidP="003325E3">
      <w:r>
        <w:separator/>
      </w:r>
    </w:p>
  </w:footnote>
  <w:footnote w:type="continuationSeparator" w:id="0">
    <w:p w14:paraId="19B73C86" w14:textId="77777777" w:rsidR="00EB09F9" w:rsidRDefault="00EB09F9" w:rsidP="0033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267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1D8D28" w14:textId="2B4A246C" w:rsidR="003325E3" w:rsidRDefault="003325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8581E" w14:textId="77777777" w:rsidR="003325E3" w:rsidRDefault="00332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1C61"/>
    <w:multiLevelType w:val="hybridMultilevel"/>
    <w:tmpl w:val="1D36E688"/>
    <w:lvl w:ilvl="0" w:tplc="A634C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6BD"/>
    <w:multiLevelType w:val="multilevel"/>
    <w:tmpl w:val="69A8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D7284"/>
    <w:multiLevelType w:val="multilevel"/>
    <w:tmpl w:val="2B10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41721"/>
    <w:multiLevelType w:val="hybridMultilevel"/>
    <w:tmpl w:val="FFB694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17918"/>
    <w:multiLevelType w:val="multilevel"/>
    <w:tmpl w:val="ADE6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11997"/>
    <w:multiLevelType w:val="hybridMultilevel"/>
    <w:tmpl w:val="C986C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015C"/>
    <w:multiLevelType w:val="multilevel"/>
    <w:tmpl w:val="C42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6131B"/>
    <w:multiLevelType w:val="hybridMultilevel"/>
    <w:tmpl w:val="37587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AA"/>
    <w:rsid w:val="00084139"/>
    <w:rsid w:val="000A51F8"/>
    <w:rsid w:val="0011619F"/>
    <w:rsid w:val="003325E3"/>
    <w:rsid w:val="004703D2"/>
    <w:rsid w:val="005A7DD0"/>
    <w:rsid w:val="00652FF9"/>
    <w:rsid w:val="00746F43"/>
    <w:rsid w:val="0078258B"/>
    <w:rsid w:val="007D77AA"/>
    <w:rsid w:val="009B633D"/>
    <w:rsid w:val="00B8502B"/>
    <w:rsid w:val="00BA7C66"/>
    <w:rsid w:val="00C21953"/>
    <w:rsid w:val="00C557E3"/>
    <w:rsid w:val="00CA547B"/>
    <w:rsid w:val="00D31060"/>
    <w:rsid w:val="00EB09F9"/>
    <w:rsid w:val="00F65F58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D06A"/>
  <w15:chartTrackingRefBased/>
  <w15:docId w15:val="{901BC49B-7FA8-48D4-B236-5F9F43CF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7AA"/>
    <w:pPr>
      <w:spacing w:after="0" w:line="240" w:lineRule="auto"/>
    </w:pPr>
    <w:rPr>
      <w:rFonts w:ascii="Calibri" w:eastAsia="PMingLiU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7AA"/>
    <w:rPr>
      <w:color w:val="0563C1"/>
      <w:u w:val="single"/>
    </w:rPr>
  </w:style>
  <w:style w:type="paragraph" w:styleId="NoSpacing">
    <w:name w:val="No Spacing"/>
    <w:uiPriority w:val="1"/>
    <w:qFormat/>
    <w:rsid w:val="007D7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7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7D77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D77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78258B"/>
  </w:style>
  <w:style w:type="character" w:customStyle="1" w:styleId="contentpasted1">
    <w:name w:val="contentpasted1"/>
    <w:basedOn w:val="DefaultParagraphFont"/>
    <w:rsid w:val="0078258B"/>
  </w:style>
  <w:style w:type="character" w:customStyle="1" w:styleId="contentpasted2">
    <w:name w:val="contentpasted2"/>
    <w:basedOn w:val="DefaultParagraphFont"/>
    <w:rsid w:val="0078258B"/>
  </w:style>
  <w:style w:type="character" w:customStyle="1" w:styleId="contentpasted3">
    <w:name w:val="contentpasted3"/>
    <w:basedOn w:val="DefaultParagraphFont"/>
    <w:rsid w:val="0078258B"/>
  </w:style>
  <w:style w:type="character" w:styleId="FollowedHyperlink">
    <w:name w:val="FollowedHyperlink"/>
    <w:basedOn w:val="DefaultParagraphFont"/>
    <w:uiPriority w:val="99"/>
    <w:semiHidden/>
    <w:unhideWhenUsed/>
    <w:rsid w:val="00B850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E3"/>
    <w:rPr>
      <w:rFonts w:ascii="Calibri" w:eastAsia="PMingLiU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2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E3"/>
    <w:rPr>
      <w:rFonts w:ascii="Calibri" w:eastAsia="PMingLiU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la.gov.au/digital-classroom/year-10/1967-referendum" TargetMode="External"/><Relationship Id="rId18" Type="http://schemas.openxmlformats.org/officeDocument/2006/relationships/hyperlink" Target="https://www.nla.gov.au/digital-classroom/senior-secondary/cook-and-pacific/indigenous-responses-cook-and-his-voyage" TargetMode="External"/><Relationship Id="rId26" Type="http://schemas.openxmlformats.org/officeDocument/2006/relationships/hyperlink" Target="http://www.moadoph.gov.au" TargetMode="External"/><Relationship Id="rId39" Type="http://schemas.openxmlformats.org/officeDocument/2006/relationships/hyperlink" Target="https://www.awm.gov.au/visit/exhibitions/courageforpeace" TargetMode="External"/><Relationship Id="rId21" Type="http://schemas.openxmlformats.org/officeDocument/2006/relationships/hyperlink" Target="https://www.moadoph.gov.au/learning/classroom-resources/" TargetMode="External"/><Relationship Id="rId34" Type="http://schemas.openxmlformats.org/officeDocument/2006/relationships/hyperlink" Target="https://www.awm.gov.au/learn/schools/resources/post45" TargetMode="External"/><Relationship Id="rId42" Type="http://schemas.openxmlformats.org/officeDocument/2006/relationships/hyperlink" Target="https://www.awm.gov.au/learn/schools/resources/realityinflames" TargetMode="External"/><Relationship Id="rId47" Type="http://schemas.openxmlformats.org/officeDocument/2006/relationships/hyperlink" Target="https://digital-classroom.nma.gov.au/defining-moments/arrival-dingo" TargetMode="External"/><Relationship Id="rId50" Type="http://schemas.openxmlformats.org/officeDocument/2006/relationships/hyperlink" Target="https://digital-classroom.nma.gov.au/defining-moments/rum-jungle-uranium-mine-opens" TargetMode="External"/><Relationship Id="rId55" Type="http://schemas.openxmlformats.org/officeDocument/2006/relationships/hyperlink" Target="https://digital-classroom.nma.gov.au/quizzes/australias-environmental-history" TargetMode="External"/><Relationship Id="rId63" Type="http://schemas.openxmlformats.org/officeDocument/2006/relationships/hyperlink" Target="https://www.nma.gov.au/exhibitions/from-little-things-big-things-grow" TargetMode="External"/><Relationship Id="rId68" Type="http://schemas.openxmlformats.org/officeDocument/2006/relationships/hyperlink" Target="https://digital-classroom.nma.gov.au/images/gough-whitlam-pouring-handful-red-soil-hands-vincent-lingiari-mervyn-bishop-1975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la.gov.au/digital-classroom/senior-secondary/cook-and-pacific" TargetMode="External"/><Relationship Id="rId29" Type="http://schemas.openxmlformats.org/officeDocument/2006/relationships/hyperlink" Target="https://www.12canoes.com.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cordsearch.naa.gov.au/SearchNRetrieve/Interface/SearchScreens/BasicSearch.aspx" TargetMode="External"/><Relationship Id="rId24" Type="http://schemas.openxmlformats.org/officeDocument/2006/relationships/hyperlink" Target="https://www.moadoph.gov.au/learning/classroom-resources/podcast-protest-music-and-the-vietnam-moratorium/" TargetMode="External"/><Relationship Id="rId32" Type="http://schemas.openxmlformats.org/officeDocument/2006/relationships/hyperlink" Target="https://www.awm.gov.au/learn/schools/resources" TargetMode="External"/><Relationship Id="rId37" Type="http://schemas.openxmlformats.org/officeDocument/2006/relationships/hyperlink" Target="https://www.awm.gov.au/articles/blog/blog/hell-no-we-wont-go" TargetMode="External"/><Relationship Id="rId40" Type="http://schemas.openxmlformats.org/officeDocument/2006/relationships/hyperlink" Target="https://www.awm.gov.au/visit/exhibitions/ink-in-the-lines" TargetMode="External"/><Relationship Id="rId45" Type="http://schemas.openxmlformats.org/officeDocument/2006/relationships/hyperlink" Target="https://digital-classroom.nma.gov.au/images/ancient-midden-freshwater-mussel-shells-lake-mungo" TargetMode="External"/><Relationship Id="rId53" Type="http://schemas.openxmlformats.org/officeDocument/2006/relationships/hyperlink" Target="https://digital-classroom.nma.gov.au/learning-modules/rights-and-freedoms-defining-moments-1945-present/14-1956-first-nuclear-weapons-test-british-maralinga" TargetMode="External"/><Relationship Id="rId58" Type="http://schemas.openxmlformats.org/officeDocument/2006/relationships/hyperlink" Target="https://digital-classroom.nma.gov.au/images/opening-first-commonwealth-parliament-artist-charles-nuttall-1902" TargetMode="External"/><Relationship Id="rId66" Type="http://schemas.openxmlformats.org/officeDocument/2006/relationships/hyperlink" Target="https://digital-classroom.nma.gov.au/learning-modules/australia-federation-defining-moments-1901-present/44-1967-changing-constitu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la.gov.au/digital-classroom/year-10/internment-world-war-ii-1939-45/themes/dunera" TargetMode="External"/><Relationship Id="rId23" Type="http://schemas.openxmlformats.org/officeDocument/2006/relationships/hyperlink" Target="https://www.moadoph.gov.au/learning/classroom-resources/hansart-interpreting-hansard-records/" TargetMode="External"/><Relationship Id="rId28" Type="http://schemas.openxmlformats.org/officeDocument/2006/relationships/hyperlink" Target="https://www.carriberrieonline.com/" TargetMode="External"/><Relationship Id="rId36" Type="http://schemas.openxmlformats.org/officeDocument/2006/relationships/hyperlink" Target="https://www.awm.gov.au/learn/schools/resources/dust-off" TargetMode="External"/><Relationship Id="rId49" Type="http://schemas.openxmlformats.org/officeDocument/2006/relationships/hyperlink" Target="https://digital-classroom.nma.gov.au/learning-modules/ancient-australia-defining-moments" TargetMode="External"/><Relationship Id="rId57" Type="http://schemas.openxmlformats.org/officeDocument/2006/relationships/hyperlink" Target="https://digital-classroom.nma.gov.au/learning-modules/progressive-ideas-and-movements-defining-moments-1750-1918" TargetMode="External"/><Relationship Id="rId61" Type="http://schemas.openxmlformats.org/officeDocument/2006/relationships/hyperlink" Target="https://digital-classroom.nma.gov.au/learning-modules/making-nation-defining-moments-1750-1901/33-1885-employers-unite-victorian-employers-union" TargetMode="External"/><Relationship Id="rId10" Type="http://schemas.openxmlformats.org/officeDocument/2006/relationships/hyperlink" Target="https://www.naa.gov.au/learn" TargetMode="External"/><Relationship Id="rId19" Type="http://schemas.openxmlformats.org/officeDocument/2006/relationships/hyperlink" Target="https://www.nla.gov.au/digital-classroom/senior-secondary/cook-and-pacific/cook-legend-and-legacy" TargetMode="External"/><Relationship Id="rId31" Type="http://schemas.openxmlformats.org/officeDocument/2006/relationships/hyperlink" Target="https://www.nfsa.gov.au/collection/curated" TargetMode="External"/><Relationship Id="rId44" Type="http://schemas.openxmlformats.org/officeDocument/2006/relationships/hyperlink" Target="http://www.nma.gov.au/" TargetMode="External"/><Relationship Id="rId52" Type="http://schemas.openxmlformats.org/officeDocument/2006/relationships/hyperlink" Target="https://digital-classroom.nma.gov.au/images/australia-signs-nuclear-non-proliferation-treaty-27-february-1970" TargetMode="External"/><Relationship Id="rId60" Type="http://schemas.openxmlformats.org/officeDocument/2006/relationships/hyperlink" Target="https://digital-classroom.nma.gov.au/images/jennie-georges-grey-and-blue-enamel-mug-bearing-council-aboriginal-reconciliation-sticker" TargetMode="External"/><Relationship Id="rId65" Type="http://schemas.openxmlformats.org/officeDocument/2006/relationships/hyperlink" Target="https://digital-classroom.nma.gov.au/images/vote-yes-poster-advertising-equality-campaig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la.gov.au/digital-classroom/year-9/world-war-i" TargetMode="External"/><Relationship Id="rId22" Type="http://schemas.openxmlformats.org/officeDocument/2006/relationships/hyperlink" Target="https://www.moadoph.gov.au/learning/classroom-resources/political-cartooning/" TargetMode="External"/><Relationship Id="rId27" Type="http://schemas.openxmlformats.org/officeDocument/2006/relationships/hyperlink" Target="https://www.nfsa.gov.au/learning/educational-resources" TargetMode="External"/><Relationship Id="rId30" Type="http://schemas.openxmlformats.org/officeDocument/2006/relationships/hyperlink" Target="https://www.stillourcountry.com.au/" TargetMode="External"/><Relationship Id="rId35" Type="http://schemas.openxmlformats.org/officeDocument/2006/relationships/hyperlink" Target="https://www.awm.gov.au/learn/schools/indonesia" TargetMode="External"/><Relationship Id="rId43" Type="http://schemas.openxmlformats.org/officeDocument/2006/relationships/hyperlink" Target="https://digital-classroom.nma.gov.au/" TargetMode="External"/><Relationship Id="rId48" Type="http://schemas.openxmlformats.org/officeDocument/2006/relationships/hyperlink" Target="https://digital-classroom.nma.gov.au/defining-moments/pemulwuy-resists-colonists" TargetMode="External"/><Relationship Id="rId56" Type="http://schemas.openxmlformats.org/officeDocument/2006/relationships/hyperlink" Target="https://www.nma.gov.au/defining-moments/resources/womens-suffrage" TargetMode="External"/><Relationship Id="rId64" Type="http://schemas.openxmlformats.org/officeDocument/2006/relationships/hyperlink" Target="https://digital-classroom.nma.gov.au/defining-moments/equal-pay-women" TargetMode="External"/><Relationship Id="rId69" Type="http://schemas.openxmlformats.org/officeDocument/2006/relationships/hyperlink" Target="https://digital-classroom.nma.gov.au/defining-moments/indigenous-australians-granted-right-vote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digital-classroom.nma.gov.au/videos/anthropocene-now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la.gov.au/digital-classroom" TargetMode="External"/><Relationship Id="rId17" Type="http://schemas.openxmlformats.org/officeDocument/2006/relationships/hyperlink" Target="https://www.nla.gov.au/digital-classroom/senior-secondary/cook-and-pacific/science-and-strategy-enlightenment" TargetMode="External"/><Relationship Id="rId25" Type="http://schemas.openxmlformats.org/officeDocument/2006/relationships/hyperlink" Target="https://www.moadoph.gov.au/learning/classroom-resources/hansart-interpreting-hansard-records/" TargetMode="External"/><Relationship Id="rId33" Type="http://schemas.openxmlformats.org/officeDocument/2006/relationships/hyperlink" Target="https://www.awm.gov.au/articles" TargetMode="External"/><Relationship Id="rId38" Type="http://schemas.openxmlformats.org/officeDocument/2006/relationships/hyperlink" Target="https://www.awm.gov.au/learn/schools/resources/afterafghanistan" TargetMode="External"/><Relationship Id="rId46" Type="http://schemas.openxmlformats.org/officeDocument/2006/relationships/hyperlink" Target="https://digital-classroom.nma.gov.au/defining-moments/earliest-known-rock-art" TargetMode="External"/><Relationship Id="rId59" Type="http://schemas.openxmlformats.org/officeDocument/2006/relationships/hyperlink" Target="https://digital-classroom.nma.gov.au/defining-moments/women-granted-vote-federal-elections" TargetMode="External"/><Relationship Id="rId67" Type="http://schemas.openxmlformats.org/officeDocument/2006/relationships/hyperlink" Target="https://digital-classroom.nma.gov.au/images/yes-aborigines-pamphlet-1967" TargetMode="External"/><Relationship Id="rId20" Type="http://schemas.openxmlformats.org/officeDocument/2006/relationships/hyperlink" Target="https://www.youtube.com/playlist?list=PLzgJLpDMiCeV3HWNV2PH-_W12FrH36EA7" TargetMode="External"/><Relationship Id="rId41" Type="http://schemas.openxmlformats.org/officeDocument/2006/relationships/hyperlink" Target="https://www.awm.gov.au/visit/exhibitions/ink-in-the-lines" TargetMode="External"/><Relationship Id="rId54" Type="http://schemas.openxmlformats.org/officeDocument/2006/relationships/hyperlink" Target="https://digital-classroom.nma.gov.au/images/atomic-blast-during-operation-buffalo-nuclear-tests-maralinga-south-australia" TargetMode="External"/><Relationship Id="rId62" Type="http://schemas.openxmlformats.org/officeDocument/2006/relationships/hyperlink" Target="https://digital-classroom.nma.gov.au/images/communist-party-australia-banner-produced-time-kellys-bush-green-ban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D76558535294C9D6976FCBCB48AEE" ma:contentTypeVersion="16" ma:contentTypeDescription="Create a new document." ma:contentTypeScope="" ma:versionID="ee0469b8c47ff6ded46eaa5e3d778d22">
  <xsd:schema xmlns:xsd="http://www.w3.org/2001/XMLSchema" xmlns:xs="http://www.w3.org/2001/XMLSchema" xmlns:p="http://schemas.microsoft.com/office/2006/metadata/properties" xmlns:ns2="e173a3af-a01e-4dd1-b828-aa0056355682" xmlns:ns3="b2e87633-ab2f-4b31-8684-ed2d2544c33f" targetNamespace="http://schemas.microsoft.com/office/2006/metadata/properties" ma:root="true" ma:fieldsID="040bbc480e96dae933860b6eabbd8f4c" ns2:_="" ns3:_="">
    <xsd:import namespace="e173a3af-a01e-4dd1-b828-aa0056355682"/>
    <xsd:import namespace="b2e87633-ab2f-4b31-8684-ed2d2544c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3a3af-a01e-4dd1-b828-aa0056355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95c6ca-8fb6-4e66-89f2-4172efce5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7633-ab2f-4b31-8684-ed2d2544c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edd6f5-221d-4648-a2af-5eb03bc0f7c0}" ma:internalName="TaxCatchAll" ma:showField="CatchAllData" ma:web="b2e87633-ab2f-4b31-8684-ed2d2544c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e87633-ab2f-4b31-8684-ed2d2544c33f" xsi:nil="true"/>
    <lcf76f155ced4ddcb4097134ff3c332f xmlns="e173a3af-a01e-4dd1-b828-aa00563556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0D6B11-BFE3-447E-91A3-EBEF06154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B34E3-55BD-4C19-9878-4E0614A5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3a3af-a01e-4dd1-b828-aa0056355682"/>
    <ds:schemaRef ds:uri="b2e87633-ab2f-4b31-8684-ed2d2544c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A216D-4FE2-4924-83B9-88B729BA2472}">
  <ds:schemaRefs>
    <ds:schemaRef ds:uri="http://schemas.microsoft.com/office/2006/metadata/properties"/>
    <ds:schemaRef ds:uri="http://schemas.microsoft.com/office/infopath/2007/PartnerControls"/>
    <ds:schemaRef ds:uri="b2e87633-ab2f-4b31-8684-ed2d2544c33f"/>
    <ds:schemaRef ds:uri="e173a3af-a01e-4dd1-b828-aa00563556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Watson</dc:creator>
  <cp:keywords/>
  <dc:description/>
  <cp:lastModifiedBy>Rosalie Triolo</cp:lastModifiedBy>
  <cp:revision>2</cp:revision>
  <dcterms:created xsi:type="dcterms:W3CDTF">2022-10-21T05:45:00Z</dcterms:created>
  <dcterms:modified xsi:type="dcterms:W3CDTF">2022-10-21T05:45:00Z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0x0101002C2D76558535294C9D6976FCBCB48AEE</vt:lpwstr>
  </property>
  <property fmtid="{D5CDD505-2E9C-101B-9397-08002B2CF9AE}" pid="3" name="MediaServiceImageTags">
    <vt:lpwstr/>
  </property>
</Properties>
</file>